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17C1" w14:textId="77777777" w:rsidR="005447D5" w:rsidRDefault="005447D5" w:rsidP="00020BC4">
      <w:r>
        <w:t>In t</w:t>
      </w:r>
      <w:r w:rsidRPr="005447D5">
        <w:t xml:space="preserve">he </w:t>
      </w:r>
      <w:r w:rsidR="00B919BC">
        <w:t xml:space="preserve">Minnesota Board of </w:t>
      </w:r>
      <w:r w:rsidR="00624FF0">
        <w:t xml:space="preserve">Nursing Program Approval Rules </w:t>
      </w:r>
      <w:r w:rsidRPr="005447D5">
        <w:t>6301.0100</w:t>
      </w:r>
      <w:r>
        <w:t>,</w:t>
      </w:r>
      <w:r w:rsidRPr="005447D5">
        <w:t xml:space="preserve"> </w:t>
      </w:r>
      <w:r>
        <w:t xml:space="preserve">the </w:t>
      </w:r>
      <w:r w:rsidRPr="005447D5">
        <w:rPr>
          <w:noProof/>
        </w:rPr>
        <w:t>definition</w:t>
      </w:r>
      <w:r w:rsidRPr="005447D5">
        <w:t xml:space="preserve"> of </w:t>
      </w:r>
      <w:r>
        <w:t>s</w:t>
      </w:r>
      <w:r w:rsidRPr="005447D5">
        <w:t xml:space="preserve">imulation is </w:t>
      </w:r>
      <w:r w:rsidRPr="00984688">
        <w:t xml:space="preserve">a </w:t>
      </w:r>
      <w:r>
        <w:t>“</w:t>
      </w:r>
      <w:r w:rsidRPr="00984688">
        <w:t>learning activity that replicates a patient situation using a planned course of events and applies evidence-based best practices in nursing education to improve or validate competence</w:t>
      </w:r>
      <w:r>
        <w:rPr>
          <w:noProof/>
        </w:rPr>
        <w:t>.”</w:t>
      </w:r>
      <w:r w:rsidRPr="00984688">
        <w:t xml:space="preserve">  </w:t>
      </w:r>
    </w:p>
    <w:p w14:paraId="0B6906E2" w14:textId="77777777" w:rsidR="005F531C" w:rsidRDefault="00AD3AFA" w:rsidP="00020BC4">
      <w:r w:rsidRPr="00984688">
        <w:t xml:space="preserve">If your program is using or planning on using simulation to replace </w:t>
      </w:r>
      <w:r w:rsidRPr="005447D5">
        <w:rPr>
          <w:noProof/>
        </w:rPr>
        <w:t>clinical</w:t>
      </w:r>
      <w:r w:rsidR="005447D5">
        <w:t xml:space="preserve">, you may have questions as to whether or not your program is meeting the requirements of the Minnesota Board of Nursing (MBN) </w:t>
      </w:r>
      <w:r w:rsidR="006A19DD">
        <w:t>Program A</w:t>
      </w:r>
      <w:r w:rsidR="00B919BC">
        <w:t xml:space="preserve">pproval </w:t>
      </w:r>
      <w:r w:rsidR="00BE5381">
        <w:t>R</w:t>
      </w:r>
      <w:r w:rsidR="005447D5">
        <w:t xml:space="preserve">ules. </w:t>
      </w:r>
    </w:p>
    <w:p w14:paraId="4966315D" w14:textId="17D81A79" w:rsidR="00020BC4" w:rsidRPr="00984688" w:rsidRDefault="005447D5" w:rsidP="00020BC4">
      <w:r>
        <w:t xml:space="preserve">The following table is designed as a tool for your program to use to </w:t>
      </w:r>
      <w:r w:rsidR="00B919BC">
        <w:t xml:space="preserve">assess alignment </w:t>
      </w:r>
      <w:r>
        <w:rPr>
          <w:noProof/>
        </w:rPr>
        <w:t>with</w:t>
      </w:r>
      <w:r>
        <w:t xml:space="preserve"> the MBN </w:t>
      </w:r>
      <w:r w:rsidR="006A19DD">
        <w:t>Program A</w:t>
      </w:r>
      <w:r w:rsidR="00B919BC">
        <w:t>pproval</w:t>
      </w:r>
      <w:r w:rsidR="00BE5381">
        <w:t xml:space="preserve"> R</w:t>
      </w:r>
      <w:r>
        <w:t>ules</w:t>
      </w:r>
      <w:r w:rsidR="00B919BC">
        <w:t xml:space="preserve"> regarding simulation</w:t>
      </w:r>
      <w:r>
        <w:t xml:space="preserve">. </w:t>
      </w:r>
      <w:r w:rsidR="008D06A1">
        <w:t>The first column</w:t>
      </w:r>
      <w:r w:rsidR="006A4C9B">
        <w:t xml:space="preserve"> </w:t>
      </w:r>
      <w:r w:rsidR="0007107A">
        <w:t xml:space="preserve">lists </w:t>
      </w:r>
      <w:r w:rsidR="008D06A1">
        <w:t xml:space="preserve">the </w:t>
      </w:r>
      <w:r w:rsidR="00751215" w:rsidRPr="00751215">
        <w:t>International Nursing Association of Clinical Simulation and Learning (INACSL)</w:t>
      </w:r>
      <w:r w:rsidR="00751215">
        <w:t xml:space="preserve"> </w:t>
      </w:r>
      <w:r w:rsidR="002501B0">
        <w:t xml:space="preserve">Standards of Best Practice </w:t>
      </w:r>
      <w:r w:rsidR="00751215">
        <w:t xml:space="preserve">and the National Council State Boards of Nursing (NCSBN) </w:t>
      </w:r>
      <w:r w:rsidR="002501B0">
        <w:t>Simulation Guidelines for Prelicensure Nursing Programs</w:t>
      </w:r>
      <w:r w:rsidR="007C265F">
        <w:t xml:space="preserve">. </w:t>
      </w:r>
      <w:r w:rsidR="0063025A">
        <w:t xml:space="preserve">The </w:t>
      </w:r>
      <w:r w:rsidR="001739E2">
        <w:t>1</w:t>
      </w:r>
      <w:r w:rsidR="001739E2" w:rsidRPr="001739E2">
        <w:rPr>
          <w:vertAlign w:val="superscript"/>
        </w:rPr>
        <w:t>st</w:t>
      </w:r>
      <w:r w:rsidR="001739E2">
        <w:t xml:space="preserve"> column is </w:t>
      </w:r>
      <w:r w:rsidR="007C265F">
        <w:t xml:space="preserve">aligned to the </w:t>
      </w:r>
      <w:r w:rsidR="0007107A">
        <w:t xml:space="preserve">MBN </w:t>
      </w:r>
      <w:r w:rsidR="00675F44">
        <w:t xml:space="preserve">legislative </w:t>
      </w:r>
      <w:r w:rsidR="007C265F">
        <w:t>rules</w:t>
      </w:r>
      <w:r w:rsidR="0007107A">
        <w:t xml:space="preserve"> in column </w:t>
      </w:r>
      <w:r w:rsidR="001739E2">
        <w:t xml:space="preserve">2.  Column 3 </w:t>
      </w:r>
      <w:r w:rsidR="00087E54">
        <w:t xml:space="preserve">list </w:t>
      </w:r>
      <w:r w:rsidR="007C265F">
        <w:t xml:space="preserve">questions </w:t>
      </w:r>
      <w:r w:rsidR="006F426A">
        <w:t xml:space="preserve">for a nursing program </w:t>
      </w:r>
      <w:r w:rsidR="007C265F">
        <w:t xml:space="preserve">to </w:t>
      </w:r>
      <w:r w:rsidR="00087E54">
        <w:t xml:space="preserve">ask </w:t>
      </w:r>
      <w:r w:rsidR="007C265F">
        <w:t xml:space="preserve">regarding alignment with the MBN </w:t>
      </w:r>
      <w:r w:rsidR="00087E54">
        <w:t xml:space="preserve">rules, and column 4 </w:t>
      </w:r>
      <w:r w:rsidR="00890017">
        <w:t xml:space="preserve">is </w:t>
      </w:r>
      <w:r w:rsidR="00F86DC6">
        <w:t>doc</w:t>
      </w:r>
      <w:r w:rsidR="007C265F">
        <w:t>umentation of evidence of the nursing program</w:t>
      </w:r>
      <w:r w:rsidR="0061753D">
        <w:t>’</w:t>
      </w:r>
      <w:r w:rsidR="007C265F">
        <w:t>s alignment with the MBN rules</w:t>
      </w:r>
      <w:r w:rsidR="00890017">
        <w:t>.</w:t>
      </w:r>
      <w:r w:rsidR="007C265F">
        <w:t xml:space="preserve"> </w:t>
      </w:r>
    </w:p>
    <w:p w14:paraId="0DA12683" w14:textId="77777777" w:rsidR="00EE523E" w:rsidRPr="005447D5" w:rsidRDefault="005447D5" w:rsidP="00020BC4">
      <w:pPr>
        <w:rPr>
          <w:b/>
        </w:rPr>
      </w:pPr>
      <w:r w:rsidRPr="005447D5">
        <w:rPr>
          <w:b/>
        </w:rPr>
        <w:t>Table: Simulation as Clinical Replacement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57"/>
        <w:gridCol w:w="2877"/>
        <w:gridCol w:w="3512"/>
        <w:gridCol w:w="3504"/>
      </w:tblGrid>
      <w:tr w:rsidR="00D97324" w:rsidRPr="00D97324" w14:paraId="0471EF5E" w14:textId="77777777" w:rsidTr="00D97324">
        <w:trPr>
          <w:tblHeader/>
        </w:trPr>
        <w:tc>
          <w:tcPr>
            <w:tcW w:w="1180" w:type="pct"/>
            <w:shd w:val="clear" w:color="auto" w:fill="FFE599" w:themeFill="accent4" w:themeFillTint="66"/>
          </w:tcPr>
          <w:p w14:paraId="7A4F1CC5" w14:textId="28432F2F" w:rsidR="00290D12" w:rsidRPr="00D97324" w:rsidRDefault="00AD3AFA" w:rsidP="00D97324">
            <w:pPr>
              <w:spacing w:before="48"/>
              <w:rPr>
                <w:rFonts w:eastAsia="Times New Roman" w:cstheme="minorHAnsi"/>
                <w:b/>
                <w:lang w:val="en"/>
              </w:rPr>
            </w:pPr>
            <w:r w:rsidRPr="00D97324">
              <w:rPr>
                <w:rFonts w:eastAsia="Times New Roman" w:cstheme="minorHAnsi"/>
                <w:b/>
                <w:lang w:val="en"/>
              </w:rPr>
              <w:t>INACSL Standard</w:t>
            </w:r>
            <w:r w:rsidR="008D20F7">
              <w:rPr>
                <w:rFonts w:eastAsia="Times New Roman" w:cstheme="minorHAnsi"/>
                <w:b/>
                <w:lang w:val="en"/>
              </w:rPr>
              <w:br/>
            </w:r>
            <w:r w:rsidRPr="00D97324">
              <w:rPr>
                <w:rFonts w:eastAsia="Times New Roman" w:cstheme="minorHAnsi"/>
                <w:b/>
                <w:lang w:val="en"/>
              </w:rPr>
              <w:t>NCSBN Standards</w:t>
            </w:r>
          </w:p>
        </w:tc>
        <w:tc>
          <w:tcPr>
            <w:tcW w:w="1111" w:type="pct"/>
            <w:shd w:val="clear" w:color="auto" w:fill="FFE599" w:themeFill="accent4" w:themeFillTint="66"/>
          </w:tcPr>
          <w:p w14:paraId="480F9FB6" w14:textId="77777777" w:rsidR="00290D12" w:rsidRPr="00D97324" w:rsidRDefault="00290D12" w:rsidP="00D97324">
            <w:pPr>
              <w:spacing w:before="48"/>
              <w:rPr>
                <w:rFonts w:eastAsia="Times New Roman" w:cstheme="minorHAnsi"/>
                <w:b/>
                <w:lang w:val="en"/>
              </w:rPr>
            </w:pPr>
            <w:r w:rsidRPr="00D97324">
              <w:rPr>
                <w:rFonts w:eastAsia="Times New Roman" w:cstheme="minorHAnsi"/>
                <w:b/>
                <w:lang w:val="en"/>
              </w:rPr>
              <w:t xml:space="preserve">Board of Nursing rules </w:t>
            </w:r>
            <w:r w:rsidR="00D97324" w:rsidRPr="00D97324">
              <w:rPr>
                <w:rFonts w:eastAsia="Times New Roman" w:cstheme="minorHAnsi"/>
                <w:b/>
                <w:lang w:val="en"/>
              </w:rPr>
              <w:br/>
            </w:r>
            <w:r w:rsidRPr="00D97324">
              <w:rPr>
                <w:rFonts w:eastAsia="Times New Roman" w:cstheme="minorHAnsi"/>
                <w:b/>
                <w:lang w:val="en"/>
              </w:rPr>
              <w:t>6301.2340 Subpart 3</w:t>
            </w:r>
            <w:r w:rsidR="006F4E90" w:rsidRPr="00D97324">
              <w:rPr>
                <w:rFonts w:eastAsia="Times New Roman" w:cstheme="minorHAnsi"/>
                <w:b/>
                <w:lang w:val="en"/>
              </w:rPr>
              <w:t>.</w:t>
            </w:r>
            <w:r w:rsidRPr="00D97324">
              <w:rPr>
                <w:rFonts w:eastAsia="Times New Roman" w:cstheme="minorHAnsi"/>
                <w:b/>
                <w:lang w:val="en"/>
              </w:rPr>
              <w:t>B</w:t>
            </w:r>
            <w:r w:rsidR="006F4E90" w:rsidRPr="00D97324">
              <w:rPr>
                <w:rFonts w:eastAsia="Times New Roman" w:cstheme="minorHAnsi"/>
                <w:b/>
                <w:lang w:val="en"/>
              </w:rPr>
              <w:t>.</w:t>
            </w:r>
          </w:p>
        </w:tc>
        <w:tc>
          <w:tcPr>
            <w:tcW w:w="1356" w:type="pct"/>
            <w:shd w:val="clear" w:color="auto" w:fill="FFE599" w:themeFill="accent4" w:themeFillTint="66"/>
          </w:tcPr>
          <w:p w14:paraId="1A6EE38F" w14:textId="77777777" w:rsidR="00290D12" w:rsidRPr="00D97324" w:rsidRDefault="00290D12" w:rsidP="00D97324">
            <w:pPr>
              <w:spacing w:before="48"/>
              <w:ind w:hanging="12"/>
              <w:rPr>
                <w:rFonts w:eastAsia="Times New Roman" w:cstheme="minorHAnsi"/>
                <w:b/>
                <w:lang w:val="en"/>
              </w:rPr>
            </w:pPr>
            <w:r w:rsidRPr="00D97324">
              <w:rPr>
                <w:rFonts w:eastAsia="Times New Roman" w:cstheme="minorHAnsi"/>
                <w:b/>
                <w:lang w:val="en"/>
              </w:rPr>
              <w:t>Questions to</w:t>
            </w:r>
            <w:r w:rsidR="000E4538" w:rsidRPr="00D97324">
              <w:rPr>
                <w:rFonts w:eastAsia="Times New Roman" w:cstheme="minorHAnsi"/>
                <w:b/>
                <w:lang w:val="en"/>
              </w:rPr>
              <w:t xml:space="preserve"> address regarding alignment </w:t>
            </w:r>
            <w:r w:rsidR="00AD3AFA" w:rsidRPr="00D97324">
              <w:rPr>
                <w:rFonts w:eastAsia="Times New Roman" w:cstheme="minorHAnsi"/>
                <w:b/>
                <w:lang w:val="en"/>
              </w:rPr>
              <w:t>with the MBN rules</w:t>
            </w:r>
          </w:p>
        </w:tc>
        <w:tc>
          <w:tcPr>
            <w:tcW w:w="1353" w:type="pct"/>
            <w:shd w:val="clear" w:color="auto" w:fill="FFE599" w:themeFill="accent4" w:themeFillTint="66"/>
          </w:tcPr>
          <w:p w14:paraId="2B1CA1A5" w14:textId="6DC74EB0" w:rsidR="00290D12" w:rsidRPr="00D97324" w:rsidRDefault="000E4538" w:rsidP="00D97324">
            <w:pPr>
              <w:spacing w:before="48"/>
              <w:ind w:hanging="29"/>
              <w:rPr>
                <w:rFonts w:eastAsia="Times New Roman" w:cstheme="minorHAnsi"/>
                <w:b/>
                <w:lang w:val="en"/>
              </w:rPr>
            </w:pPr>
            <w:r w:rsidRPr="00D97324">
              <w:rPr>
                <w:rFonts w:eastAsia="Times New Roman" w:cstheme="minorHAnsi"/>
                <w:b/>
                <w:lang w:val="en"/>
              </w:rPr>
              <w:t xml:space="preserve">Documentation of </w:t>
            </w:r>
            <w:r w:rsidR="00F634A1" w:rsidRPr="00D97324">
              <w:rPr>
                <w:rFonts w:eastAsia="Times New Roman" w:cstheme="minorHAnsi"/>
                <w:b/>
                <w:lang w:val="en"/>
              </w:rPr>
              <w:t>e</w:t>
            </w:r>
            <w:r w:rsidR="00AD3AFA" w:rsidRPr="00D97324">
              <w:rPr>
                <w:rFonts w:eastAsia="Times New Roman" w:cstheme="minorHAnsi"/>
                <w:b/>
                <w:lang w:val="en"/>
              </w:rPr>
              <w:t xml:space="preserve">vidence </w:t>
            </w:r>
            <w:r w:rsidR="00EA36C5">
              <w:rPr>
                <w:rFonts w:eastAsia="Times New Roman" w:cstheme="minorHAnsi"/>
                <w:b/>
                <w:lang w:val="en"/>
              </w:rPr>
              <w:t xml:space="preserve">the nursing </w:t>
            </w:r>
            <w:r w:rsidRPr="00D97324">
              <w:rPr>
                <w:rFonts w:eastAsia="Times New Roman" w:cstheme="minorHAnsi"/>
                <w:b/>
                <w:lang w:val="en"/>
              </w:rPr>
              <w:t>program</w:t>
            </w:r>
            <w:r w:rsidR="006513FE" w:rsidRPr="00D97324">
              <w:rPr>
                <w:rFonts w:eastAsia="Times New Roman" w:cstheme="minorHAnsi"/>
                <w:b/>
                <w:lang w:val="en"/>
              </w:rPr>
              <w:t>’s simulation plan</w:t>
            </w:r>
            <w:r w:rsidRPr="00D97324">
              <w:rPr>
                <w:rFonts w:eastAsia="Times New Roman" w:cstheme="minorHAnsi"/>
                <w:b/>
                <w:lang w:val="en"/>
              </w:rPr>
              <w:t xml:space="preserve">  </w:t>
            </w:r>
            <w:r w:rsidR="00290D12" w:rsidRPr="00D97324">
              <w:rPr>
                <w:rFonts w:eastAsia="Times New Roman" w:cstheme="minorHAnsi"/>
                <w:b/>
                <w:lang w:val="en"/>
              </w:rPr>
              <w:t xml:space="preserve">is </w:t>
            </w:r>
            <w:r w:rsidRPr="00D97324">
              <w:rPr>
                <w:rFonts w:eastAsia="Times New Roman" w:cstheme="minorHAnsi"/>
                <w:b/>
                <w:lang w:val="en"/>
              </w:rPr>
              <w:t xml:space="preserve">in alignment with </w:t>
            </w:r>
            <w:r w:rsidR="00AD3AFA" w:rsidRPr="00D97324">
              <w:rPr>
                <w:rFonts w:eastAsia="Times New Roman" w:cstheme="minorHAnsi"/>
                <w:b/>
                <w:lang w:val="en"/>
              </w:rPr>
              <w:t>the MBN rules</w:t>
            </w:r>
          </w:p>
        </w:tc>
      </w:tr>
      <w:tr w:rsidR="00D97324" w:rsidRPr="00D97324" w14:paraId="1AC6CC83" w14:textId="77777777" w:rsidTr="00D97324">
        <w:tc>
          <w:tcPr>
            <w:tcW w:w="1180" w:type="pct"/>
          </w:tcPr>
          <w:p w14:paraId="21F89402" w14:textId="77777777" w:rsidR="00290D12" w:rsidRPr="00D97324" w:rsidRDefault="00984688" w:rsidP="00C62EC6">
            <w:pPr>
              <w:rPr>
                <w:rFonts w:eastAsia="Times New Roman"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 </w:t>
            </w:r>
            <w:r w:rsidR="00290D12" w:rsidRPr="00D97324">
              <w:rPr>
                <w:rFonts w:eastAsia="Times New Roman" w:cstheme="minorHAnsi"/>
                <w:b/>
                <w:sz w:val="20"/>
                <w:szCs w:val="20"/>
              </w:rPr>
              <w:t xml:space="preserve">Simulation and Simulation Design. </w:t>
            </w:r>
            <w:r w:rsidR="00290D12" w:rsidRPr="00D97324">
              <w:rPr>
                <w:rFonts w:eastAsia="Times New Roman" w:cstheme="minorHAnsi"/>
                <w:sz w:val="20"/>
                <w:szCs w:val="20"/>
              </w:rPr>
              <w:t>Criterion 5: “Use various types of fidelity to create the required perception of realism.”</w:t>
            </w:r>
            <w:r w:rsidR="00A067CC" w:rsidRPr="00D97324">
              <w:rPr>
                <w:rFonts w:eastAsia="Times New Roman" w:cstheme="minorHAnsi"/>
                <w:sz w:val="20"/>
                <w:szCs w:val="20"/>
              </w:rPr>
              <w:br/>
            </w:r>
          </w:p>
          <w:p w14:paraId="5852E6AB" w14:textId="77777777" w:rsidR="00A067CC" w:rsidRPr="00D97324" w:rsidRDefault="00A067CC" w:rsidP="00C62EC6">
            <w:pPr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>NCSBN Simulation Guidelines for Prelicensure Nursing Programs.</w:t>
            </w:r>
          </w:p>
          <w:p w14:paraId="7F681512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CHAPTER 2. DEFINITIONS</w:t>
            </w:r>
          </w:p>
          <w:p w14:paraId="56FD4368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j. “Simulation” means a technique to replace or amplify</w:t>
            </w:r>
          </w:p>
          <w:p w14:paraId="4D0FCDF6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real experiences with guided experiences that evoke or</w:t>
            </w:r>
          </w:p>
          <w:p w14:paraId="725D46C2" w14:textId="77777777" w:rsidR="00A067CC" w:rsidRPr="00D97324" w:rsidRDefault="00A067CC" w:rsidP="00C62EC6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cstheme="minorHAnsi"/>
                <w:sz w:val="20"/>
                <w:szCs w:val="20"/>
              </w:rPr>
              <w:t>replicate substantial aspects of the</w:t>
            </w:r>
            <w:r w:rsidR="00DE2A85" w:rsidRPr="00D97324">
              <w:rPr>
                <w:rFonts w:cstheme="minorHAnsi"/>
                <w:sz w:val="20"/>
                <w:szCs w:val="20"/>
              </w:rPr>
              <w:t xml:space="preserve"> real world in a fully interactive manner</w:t>
            </w:r>
            <w:r w:rsidR="00624FF0" w:rsidRPr="00D9732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11" w:type="pct"/>
          </w:tcPr>
          <w:p w14:paraId="7F706BFF" w14:textId="1726835E" w:rsidR="0086610D" w:rsidRPr="00D97324" w:rsidRDefault="0086610D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6301.0100 Subp</w:t>
            </w:r>
            <w:r w:rsidR="009923FA">
              <w:rPr>
                <w:rFonts w:cstheme="minorHAnsi"/>
                <w:b/>
                <w:sz w:val="20"/>
                <w:szCs w:val="20"/>
              </w:rPr>
              <w:t>art</w:t>
            </w:r>
            <w:r w:rsidRPr="00D97324">
              <w:rPr>
                <w:rFonts w:cstheme="minorHAnsi"/>
                <w:b/>
                <w:sz w:val="20"/>
                <w:szCs w:val="20"/>
              </w:rPr>
              <w:t>. 11a.</w:t>
            </w:r>
          </w:p>
          <w:p w14:paraId="16EC08A8" w14:textId="77777777" w:rsidR="00290D12" w:rsidRPr="00D97324" w:rsidRDefault="00290D12" w:rsidP="00C62EC6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"High-fidelity simulation" means a simulation conducted with </w:t>
            </w:r>
          </w:p>
          <w:p w14:paraId="7814C19C" w14:textId="77777777" w:rsidR="00290D12" w:rsidRPr="00D97324" w:rsidRDefault="00290D12" w:rsidP="00C62EC6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computerized patient mannequins, </w:t>
            </w:r>
          </w:p>
          <w:p w14:paraId="4F5480CC" w14:textId="77777777" w:rsidR="00290D12" w:rsidRPr="00D97324" w:rsidRDefault="00290D12" w:rsidP="00C62EC6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virtual reality, or </w:t>
            </w:r>
          </w:p>
          <w:p w14:paraId="77DDE726" w14:textId="77777777" w:rsidR="00290D12" w:rsidRPr="00D97324" w:rsidRDefault="00290D12" w:rsidP="00C62EC6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standardized patient</w:t>
            </w:r>
          </w:p>
          <w:p w14:paraId="16F9A33B" w14:textId="77777777" w:rsidR="00290D12" w:rsidRPr="00D97324" w:rsidRDefault="00290D12" w:rsidP="00C62EC6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and</w:t>
            </w:r>
            <w:r w:rsidR="006D7239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designed to provide a high level of interactivity and realism.</w:t>
            </w:r>
          </w:p>
        </w:tc>
        <w:tc>
          <w:tcPr>
            <w:tcW w:w="1356" w:type="pct"/>
          </w:tcPr>
          <w:p w14:paraId="01F7BCD1" w14:textId="77777777" w:rsidR="00290D12" w:rsidRPr="00D97324" w:rsidRDefault="00290D12" w:rsidP="00C62EC6">
            <w:pPr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 xml:space="preserve">What type of simulation are you using? </w:t>
            </w:r>
          </w:p>
          <w:p w14:paraId="1813621D" w14:textId="77777777" w:rsidR="00290D12" w:rsidRPr="00D97324" w:rsidRDefault="00290D12" w:rsidP="00C62EC6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Computerized patient mannequin</w:t>
            </w:r>
          </w:p>
          <w:p w14:paraId="3AA7B141" w14:textId="77777777" w:rsidR="00227300" w:rsidRPr="00D97324" w:rsidRDefault="00290D12" w:rsidP="00C62EC6">
            <w:pPr>
              <w:pStyle w:val="ListParagraph"/>
              <w:numPr>
                <w:ilvl w:val="0"/>
                <w:numId w:val="8"/>
              </w:numPr>
              <w:tabs>
                <w:tab w:val="left" w:pos="3792"/>
              </w:tabs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Virtual reality</w:t>
            </w:r>
          </w:p>
          <w:p w14:paraId="4E47D65E" w14:textId="77777777" w:rsidR="00290D12" w:rsidRPr="00D97324" w:rsidRDefault="00290D12" w:rsidP="00C62EC6">
            <w:pPr>
              <w:pStyle w:val="ListParagraph"/>
              <w:numPr>
                <w:ilvl w:val="0"/>
                <w:numId w:val="8"/>
              </w:numPr>
              <w:tabs>
                <w:tab w:val="left" w:pos="3792"/>
              </w:tabs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Standardized patients INACSL definition:</w:t>
            </w:r>
            <w:r w:rsidR="00297A6C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r w:rsidRPr="00D97324">
              <w:rPr>
                <w:rFonts w:cstheme="minorHAnsi"/>
                <w:sz w:val="20"/>
                <w:szCs w:val="20"/>
                <w:lang w:val="en"/>
              </w:rPr>
              <w:t xml:space="preserve">A Standardized Patient also known as a simulated patient is a person trained to consistently portray a patient or other individual in a scripted scenario for the purposes of instruction, practice, or evaluation.  </w:t>
            </w:r>
          </w:p>
        </w:tc>
        <w:tc>
          <w:tcPr>
            <w:tcW w:w="1353" w:type="pct"/>
          </w:tcPr>
          <w:p w14:paraId="34F7A020" w14:textId="77777777" w:rsidR="00290D12" w:rsidRPr="00D97324" w:rsidRDefault="00290D12" w:rsidP="00C62EC6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984688" w:rsidRPr="00D97324" w14:paraId="316E81FC" w14:textId="77777777" w:rsidTr="00D97324">
        <w:tc>
          <w:tcPr>
            <w:tcW w:w="1180" w:type="pct"/>
            <w:shd w:val="clear" w:color="auto" w:fill="FFE599" w:themeFill="accent4" w:themeFillTint="66"/>
          </w:tcPr>
          <w:p w14:paraId="57A06BBF" w14:textId="77777777" w:rsidR="00290D12" w:rsidRPr="00D97324" w:rsidRDefault="00290D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0" w:type="pct"/>
            <w:gridSpan w:val="3"/>
            <w:shd w:val="clear" w:color="auto" w:fill="FFE599" w:themeFill="accent4" w:themeFillTint="66"/>
          </w:tcPr>
          <w:p w14:paraId="40525408" w14:textId="77777777" w:rsidR="00290D12" w:rsidRPr="00D97324" w:rsidRDefault="00290D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324" w:rsidRPr="00D97324" w14:paraId="59824964" w14:textId="77777777" w:rsidTr="00D97324">
        <w:tc>
          <w:tcPr>
            <w:tcW w:w="1180" w:type="pct"/>
          </w:tcPr>
          <w:p w14:paraId="777D7A88" w14:textId="77777777" w:rsidR="00290D12" w:rsidRPr="00D97324" w:rsidRDefault="00984688" w:rsidP="00290D12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</w:t>
            </w:r>
            <w:r w:rsidR="00290D12" w:rsidRPr="00D97324">
              <w:rPr>
                <w:rFonts w:cstheme="minorHAnsi"/>
                <w:b/>
                <w:sz w:val="20"/>
                <w:szCs w:val="20"/>
              </w:rPr>
              <w:t xml:space="preserve"> Participant Evaluation</w:t>
            </w:r>
            <w:r w:rsidRPr="00D97324">
              <w:rPr>
                <w:rFonts w:cstheme="minorHAnsi"/>
                <w:sz w:val="20"/>
                <w:szCs w:val="20"/>
              </w:rPr>
              <w:t>.</w:t>
            </w:r>
            <w:r w:rsidR="00290D12" w:rsidRPr="00D97324">
              <w:rPr>
                <w:rFonts w:cstheme="minorHAnsi"/>
                <w:sz w:val="20"/>
                <w:szCs w:val="20"/>
              </w:rPr>
              <w:t xml:space="preserve"> Required element #2: Simulation-based </w:t>
            </w:r>
            <w:r w:rsidR="00290D12" w:rsidRPr="00D97324">
              <w:rPr>
                <w:rFonts w:cstheme="minorHAnsi"/>
                <w:sz w:val="20"/>
                <w:szCs w:val="20"/>
              </w:rPr>
              <w:lastRenderedPageBreak/>
              <w:t xml:space="preserve">experiences may be selected for formative evaluation. </w:t>
            </w:r>
          </w:p>
          <w:p w14:paraId="3D6F97F1" w14:textId="77777777" w:rsidR="00A067CC" w:rsidRPr="00D97324" w:rsidRDefault="00A067CC" w:rsidP="00A067CC">
            <w:pPr>
              <w:rPr>
                <w:rFonts w:cstheme="minorHAnsi"/>
                <w:sz w:val="20"/>
                <w:szCs w:val="20"/>
              </w:rPr>
            </w:pPr>
          </w:p>
          <w:p w14:paraId="7D24BD42" w14:textId="77777777" w:rsidR="00A067CC" w:rsidRPr="00D97324" w:rsidRDefault="00A067CC" w:rsidP="00A067CC">
            <w:pPr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>NCSBN Simulation Guidelines for Prelicensure Nursing Programs.</w:t>
            </w:r>
          </w:p>
          <w:p w14:paraId="057D7C79" w14:textId="77777777" w:rsidR="00A067CC" w:rsidRPr="00D97324" w:rsidRDefault="00A067CC" w:rsidP="00A067C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6.4.2 Organization and Management</w:t>
            </w:r>
          </w:p>
          <w:p w14:paraId="3A1CEC39" w14:textId="77777777" w:rsidR="00A067CC" w:rsidRPr="00D97324" w:rsidRDefault="00A067CC" w:rsidP="00A067C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a. The program shall have an organizing framework that provides adequate fiscal, human, and material</w:t>
            </w:r>
          </w:p>
          <w:p w14:paraId="029F1E61" w14:textId="77777777" w:rsidR="00A067CC" w:rsidRPr="00D97324" w:rsidRDefault="00A067CC" w:rsidP="00A067CC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cstheme="minorHAnsi"/>
                <w:sz w:val="20"/>
                <w:szCs w:val="20"/>
              </w:rPr>
              <w:t>resources to support the simulation activities.</w:t>
            </w:r>
          </w:p>
        </w:tc>
        <w:tc>
          <w:tcPr>
            <w:tcW w:w="1111" w:type="pct"/>
          </w:tcPr>
          <w:p w14:paraId="2D5D1048" w14:textId="77777777" w:rsidR="00535B8C" w:rsidRPr="00D97324" w:rsidRDefault="00263CD7" w:rsidP="00535B8C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lastRenderedPageBreak/>
              <w:t>6301.</w:t>
            </w:r>
            <w:r w:rsidR="00535B8C" w:rsidRPr="00D97324">
              <w:rPr>
                <w:rFonts w:cstheme="minorHAnsi"/>
                <w:b/>
                <w:sz w:val="20"/>
                <w:szCs w:val="20"/>
              </w:rPr>
              <w:t xml:space="preserve">2340 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 xml:space="preserve">Subpart 3. </w:t>
            </w:r>
            <w:r w:rsidR="00535B8C" w:rsidRPr="00D97324">
              <w:rPr>
                <w:rFonts w:cstheme="minorHAnsi"/>
                <w:b/>
                <w:sz w:val="20"/>
                <w:szCs w:val="20"/>
              </w:rPr>
              <w:t>B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>.</w:t>
            </w:r>
            <w:r w:rsidR="00535B8C" w:rsidRPr="00D97324">
              <w:rPr>
                <w:rFonts w:cstheme="minorHAnsi"/>
                <w:b/>
                <w:sz w:val="20"/>
                <w:szCs w:val="20"/>
              </w:rPr>
              <w:t>:</w:t>
            </w:r>
            <w:r w:rsidR="00535B8C" w:rsidRPr="00D97324">
              <w:rPr>
                <w:rFonts w:cstheme="minorHAnsi"/>
                <w:sz w:val="20"/>
                <w:szCs w:val="20"/>
              </w:rPr>
              <w:t xml:space="preserve"> High-fidelity simulation may be used in part to meet the </w:t>
            </w:r>
            <w:r w:rsidR="00535B8C" w:rsidRPr="00D97324">
              <w:rPr>
                <w:rFonts w:cstheme="minorHAnsi"/>
                <w:sz w:val="20"/>
                <w:szCs w:val="20"/>
              </w:rPr>
              <w:lastRenderedPageBreak/>
              <w:t xml:space="preserve">requirements of item A., sub-item (4), units (a) and (b), when: </w:t>
            </w:r>
          </w:p>
          <w:p w14:paraId="664677F8" w14:textId="77777777" w:rsidR="00290D12" w:rsidRPr="00D97324" w:rsidRDefault="006F4E90" w:rsidP="00535B8C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6301.2340 Subpart 3.B. (1)</w:t>
            </w:r>
            <w:r w:rsidR="00535B8C" w:rsidRPr="00D97324">
              <w:rPr>
                <w:rFonts w:cstheme="minorHAnsi"/>
                <w:sz w:val="20"/>
                <w:szCs w:val="20"/>
              </w:rPr>
              <w:t>Equipment and resources, including the number of nursing faculty, to support student learning are sufficient</w:t>
            </w:r>
          </w:p>
        </w:tc>
        <w:tc>
          <w:tcPr>
            <w:tcW w:w="1356" w:type="pct"/>
          </w:tcPr>
          <w:p w14:paraId="38753F75" w14:textId="77777777" w:rsidR="00290D12" w:rsidRPr="00D97324" w:rsidRDefault="00290D12" w:rsidP="00356224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lastRenderedPageBreak/>
              <w:t>INACSL Simulation Design</w:t>
            </w:r>
          </w:p>
          <w:p w14:paraId="05104798" w14:textId="2EFD5A05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Ha</w:t>
            </w:r>
            <w:r w:rsidR="00CB3EB3">
              <w:rPr>
                <w:rFonts w:eastAsia="Times New Roman" w:cstheme="minorHAnsi"/>
                <w:sz w:val="20"/>
                <w:szCs w:val="20"/>
                <w:lang w:val="en"/>
              </w:rPr>
              <w:t>s the nursing program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completed a needs assessment? </w:t>
            </w:r>
          </w:p>
          <w:p w14:paraId="5C974EC2" w14:textId="77777777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lastRenderedPageBreak/>
              <w:t>Which simulation(</w:t>
            </w:r>
            <w:r w:rsidR="0026468D" w:rsidRPr="00D97324">
              <w:rPr>
                <w:rFonts w:eastAsia="Times New Roman" w:cstheme="minorHAnsi"/>
                <w:sz w:val="20"/>
                <w:szCs w:val="20"/>
                <w:lang w:val="en"/>
              </w:rPr>
              <w:t>s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) does the program have and/or need to incorporate?</w:t>
            </w:r>
          </w:p>
          <w:p w14:paraId="33B55FB0" w14:textId="77777777" w:rsidR="008504F7" w:rsidRPr="00D97324" w:rsidRDefault="00290D12" w:rsidP="00D97324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What equipment and resources are being used?   </w:t>
            </w:r>
          </w:p>
          <w:p w14:paraId="5024BC67" w14:textId="77777777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What is the ratio of faculty to students for simulation?</w:t>
            </w:r>
          </w:p>
          <w:p w14:paraId="2C5C909D" w14:textId="77777777" w:rsidR="00B90D94" w:rsidRPr="00D97324" w:rsidRDefault="00B90D94" w:rsidP="00D97324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What other faculty/staff do you have to support simulation? </w:t>
            </w:r>
          </w:p>
          <w:p w14:paraId="76249EAA" w14:textId="77777777" w:rsidR="00290D12" w:rsidRPr="00D97324" w:rsidRDefault="00290D12" w:rsidP="00372F7A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br/>
            </w:r>
          </w:p>
        </w:tc>
        <w:tc>
          <w:tcPr>
            <w:tcW w:w="1353" w:type="pct"/>
          </w:tcPr>
          <w:p w14:paraId="75E7D278" w14:textId="77777777" w:rsidR="00290D12" w:rsidRPr="00D97324" w:rsidRDefault="00290D12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984688" w:rsidRPr="00D97324" w14:paraId="7FF96C5B" w14:textId="77777777" w:rsidTr="00D97324">
        <w:tc>
          <w:tcPr>
            <w:tcW w:w="1180" w:type="pct"/>
            <w:shd w:val="clear" w:color="auto" w:fill="FFE599" w:themeFill="accent4" w:themeFillTint="66"/>
          </w:tcPr>
          <w:p w14:paraId="76466EA5" w14:textId="77777777" w:rsidR="00290D12" w:rsidRPr="00D97324" w:rsidRDefault="00290D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0" w:type="pct"/>
            <w:gridSpan w:val="3"/>
            <w:shd w:val="clear" w:color="auto" w:fill="FFE599" w:themeFill="accent4" w:themeFillTint="66"/>
          </w:tcPr>
          <w:p w14:paraId="070FB0AC" w14:textId="77777777" w:rsidR="00290D12" w:rsidRPr="00D97324" w:rsidRDefault="00290D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324" w:rsidRPr="00D97324" w14:paraId="7F6F5B6D" w14:textId="77777777" w:rsidTr="00D97324">
        <w:tc>
          <w:tcPr>
            <w:tcW w:w="1180" w:type="pct"/>
          </w:tcPr>
          <w:p w14:paraId="1EBECFE7" w14:textId="77777777" w:rsidR="008E41D1" w:rsidRPr="00D97324" w:rsidRDefault="0098468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</w:t>
            </w:r>
            <w:r w:rsidR="008E41D1" w:rsidRPr="00D97324">
              <w:rPr>
                <w:rFonts w:cstheme="minorHAnsi"/>
                <w:b/>
                <w:sz w:val="20"/>
                <w:szCs w:val="20"/>
              </w:rPr>
              <w:t>Simulation Facilitation</w:t>
            </w:r>
            <w:r w:rsidRPr="00D97324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93A99AD" w14:textId="77777777" w:rsidR="00290D12" w:rsidRPr="00D97324" w:rsidRDefault="008E41D1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 xml:space="preserve"> Criteria # 1</w:t>
            </w:r>
            <w:r w:rsidR="00984688" w:rsidRPr="00D97324">
              <w:rPr>
                <w:rFonts w:cstheme="minorHAnsi"/>
                <w:sz w:val="20"/>
                <w:szCs w:val="20"/>
              </w:rPr>
              <w:t xml:space="preserve">: </w:t>
            </w:r>
            <w:r w:rsidRPr="00D97324">
              <w:rPr>
                <w:rFonts w:cstheme="minorHAnsi"/>
                <w:sz w:val="20"/>
                <w:szCs w:val="20"/>
              </w:rPr>
              <w:t>Effective facilitation requires a facilitator who has specific skills and kn</w:t>
            </w:r>
            <w:r w:rsidR="00984688" w:rsidRPr="00D97324">
              <w:rPr>
                <w:rFonts w:cstheme="minorHAnsi"/>
                <w:sz w:val="20"/>
                <w:szCs w:val="20"/>
              </w:rPr>
              <w:t>owledge in simulation pedagogy.</w:t>
            </w:r>
            <w:r w:rsidR="00A067CC" w:rsidRPr="00D97324">
              <w:rPr>
                <w:rFonts w:cstheme="minorHAnsi"/>
                <w:sz w:val="20"/>
                <w:szCs w:val="20"/>
              </w:rPr>
              <w:br/>
            </w:r>
          </w:p>
          <w:p w14:paraId="782643A2" w14:textId="77777777" w:rsidR="00A067CC" w:rsidRPr="00D97324" w:rsidRDefault="00FF24A4" w:rsidP="00C62EC6">
            <w:pPr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>NCSBN Simulation Guidelines</w:t>
            </w:r>
            <w:r w:rsidR="000B01A3"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 xml:space="preserve"> </w:t>
            </w:r>
            <w:r w:rsidR="007C67F6"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 xml:space="preserve">for Prelicensure </w:t>
            </w:r>
            <w:r w:rsidR="00984688"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>Nursing Programs.</w:t>
            </w:r>
          </w:p>
          <w:p w14:paraId="6EFD8A1F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6.4.2. b. Simulation activities shall be managed by an individual</w:t>
            </w:r>
          </w:p>
          <w:p w14:paraId="0FA8B33D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who is academically and experientially qualified. The individual shall demonstrate continued expertise and</w:t>
            </w:r>
          </w:p>
          <w:p w14:paraId="55F0D4E5" w14:textId="77777777" w:rsidR="00A067CC" w:rsidRPr="00D97324" w:rsidRDefault="00A067CC" w:rsidP="00C62EC6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cstheme="minorHAnsi"/>
                <w:sz w:val="20"/>
                <w:szCs w:val="20"/>
              </w:rPr>
              <w:t>competence in the use of simulation while managing the program.</w:t>
            </w:r>
            <w:r w:rsidR="00984688" w:rsidRPr="00D97324">
              <w:rPr>
                <w:rFonts w:eastAsia="Times New Roman" w:cstheme="minorHAnsi"/>
                <w:sz w:val="20"/>
                <w:szCs w:val="20"/>
                <w:lang w:val="en"/>
              </w:rPr>
              <w:br/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See the </w:t>
            </w:r>
            <w:r w:rsidR="000B01A3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Faculty Preparation </w:t>
            </w:r>
            <w:r w:rsidR="00984688" w:rsidRPr="00D97324">
              <w:rPr>
                <w:rFonts w:eastAsia="Times New Roman" w:cstheme="minorHAnsi"/>
                <w:sz w:val="20"/>
                <w:szCs w:val="20"/>
                <w:lang w:val="en"/>
              </w:rPr>
              <w:t>C</w:t>
            </w:r>
            <w:r w:rsidR="000B01A3" w:rsidRPr="00D97324">
              <w:rPr>
                <w:rFonts w:eastAsia="Times New Roman" w:cstheme="minorHAnsi"/>
                <w:sz w:val="20"/>
                <w:szCs w:val="20"/>
                <w:lang w:val="en"/>
              </w:rPr>
              <w:t>hecklist</w:t>
            </w:r>
            <w:r w:rsidR="00984688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on page 8</w:t>
            </w:r>
            <w:r w:rsidR="00D97324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in the NCSBN Simulation Guidelines for Prelicensure Nursing Programs. </w:t>
            </w:r>
          </w:p>
          <w:p w14:paraId="132435B4" w14:textId="77777777" w:rsidR="00AB278B" w:rsidRPr="00D97324" w:rsidRDefault="00AB278B" w:rsidP="00C62EC6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  <w:tc>
          <w:tcPr>
            <w:tcW w:w="1111" w:type="pct"/>
          </w:tcPr>
          <w:p w14:paraId="6F2CEC11" w14:textId="77777777" w:rsidR="00037DE0" w:rsidRPr="00D97324" w:rsidRDefault="00037DE0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6301.2340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 xml:space="preserve"> Subpart 3.</w:t>
            </w:r>
            <w:r w:rsidRPr="00D97324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>. (2)</w:t>
            </w:r>
          </w:p>
          <w:p w14:paraId="2969326D" w14:textId="77777777" w:rsidR="00290D12" w:rsidRPr="00D97324" w:rsidRDefault="00290D12" w:rsidP="00C62EC6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nursing faculty with documented education and training in the use of simulation </w:t>
            </w:r>
          </w:p>
          <w:p w14:paraId="43C048F4" w14:textId="77777777" w:rsidR="00290D12" w:rsidRPr="00D97324" w:rsidRDefault="00290D12" w:rsidP="00C62EC6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develop,</w:t>
            </w:r>
          </w:p>
          <w:p w14:paraId="42BB8BD0" w14:textId="77777777" w:rsidR="00290D12" w:rsidRPr="00D97324" w:rsidRDefault="00290D12" w:rsidP="00C62EC6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implement, and </w:t>
            </w:r>
          </w:p>
          <w:p w14:paraId="2FEF75DE" w14:textId="77777777" w:rsidR="00290D12" w:rsidRPr="00D97324" w:rsidRDefault="00290D12" w:rsidP="00C62EC6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evaluate the simulation experience;</w:t>
            </w:r>
          </w:p>
          <w:p w14:paraId="10898E2F" w14:textId="77777777" w:rsidR="00290D12" w:rsidRPr="00D97324" w:rsidRDefault="00290D12" w:rsidP="00C62E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pct"/>
          </w:tcPr>
          <w:p w14:paraId="3343E7F9" w14:textId="77777777" w:rsidR="00230AB5" w:rsidRDefault="00CB3EB3" w:rsidP="00D97324">
            <w:pPr>
              <w:pStyle w:val="ListParagraph"/>
              <w:numPr>
                <w:ilvl w:val="0"/>
                <w:numId w:val="10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>
              <w:rPr>
                <w:rFonts w:eastAsia="Times New Roman" w:cstheme="minorHAnsi"/>
                <w:sz w:val="20"/>
                <w:szCs w:val="20"/>
                <w:lang w:val="en"/>
              </w:rPr>
              <w:t>Is the nursing program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using  simulation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>s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that ha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>ve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been developed by nursing faculty with documented education and training in the use of simulation?</w:t>
            </w:r>
          </w:p>
          <w:p w14:paraId="08204DF6" w14:textId="6118ADF4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W</w:t>
            </w:r>
            <w:r w:rsidR="00230AB5">
              <w:rPr>
                <w:rFonts w:eastAsia="Times New Roman" w:cstheme="minorHAnsi"/>
                <w:sz w:val="20"/>
                <w:szCs w:val="20"/>
                <w:lang w:val="en"/>
              </w:rPr>
              <w:t>ere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the simulation(s) developed by </w:t>
            </w:r>
            <w:r w:rsidR="00753FC4">
              <w:rPr>
                <w:rFonts w:eastAsia="Times New Roman" w:cstheme="minorHAnsi"/>
                <w:sz w:val="20"/>
                <w:szCs w:val="20"/>
                <w:lang w:val="en"/>
              </w:rPr>
              <w:t>the nursing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faculty, </w:t>
            </w:r>
            <w:r w:rsidR="00753FC4">
              <w:rPr>
                <w:rFonts w:eastAsia="Times New Roman" w:cstheme="minorHAnsi"/>
                <w:sz w:val="20"/>
                <w:szCs w:val="20"/>
                <w:lang w:val="en"/>
              </w:rPr>
              <w:t xml:space="preserve">purchased from a company, from the MN Simulation for Healthcare Education </w:t>
            </w:r>
            <w:r w:rsidR="00230AB5">
              <w:rPr>
                <w:rFonts w:eastAsia="Times New Roman" w:cstheme="minorHAnsi"/>
                <w:sz w:val="20"/>
                <w:szCs w:val="20"/>
                <w:lang w:val="en"/>
              </w:rPr>
              <w:t>and Industry Partnership (</w:t>
            </w:r>
            <w:proofErr w:type="spellStart"/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MnSHEP</w:t>
            </w:r>
            <w:proofErr w:type="spellEnd"/>
            <w:r w:rsidR="00230AB5">
              <w:rPr>
                <w:rFonts w:eastAsia="Times New Roman" w:cstheme="minorHAnsi"/>
                <w:sz w:val="20"/>
                <w:szCs w:val="20"/>
                <w:lang w:val="en"/>
              </w:rPr>
              <w:t>) website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, </w:t>
            </w:r>
            <w:r w:rsidR="00230AB5">
              <w:rPr>
                <w:rFonts w:eastAsia="Times New Roman" w:cstheme="minorHAnsi"/>
                <w:sz w:val="20"/>
                <w:szCs w:val="20"/>
                <w:lang w:val="en"/>
              </w:rPr>
              <w:t xml:space="preserve">or </w:t>
            </w:r>
            <w:r w:rsidR="008E41D1" w:rsidRPr="00D97324">
              <w:rPr>
                <w:rFonts w:eastAsia="Times New Roman" w:cstheme="minorHAnsi"/>
                <w:sz w:val="20"/>
                <w:szCs w:val="20"/>
                <w:lang w:val="en"/>
              </w:rPr>
              <w:t>from another source</w:t>
            </w:r>
            <w:r w:rsidR="00230AB5">
              <w:rPr>
                <w:rFonts w:eastAsia="Times New Roman" w:cstheme="minorHAnsi"/>
                <w:sz w:val="20"/>
                <w:szCs w:val="20"/>
                <w:lang w:val="en"/>
              </w:rPr>
              <w:t>?</w:t>
            </w:r>
          </w:p>
          <w:p w14:paraId="5A5B8246" w14:textId="66F89D5C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Do</w:t>
            </w:r>
            <w:r w:rsidR="00B6406B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the faculty that </w:t>
            </w:r>
            <w:r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implement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the simulation have documented education and training in the use of simulation</w:t>
            </w:r>
            <w:r w:rsidR="006E74D7">
              <w:rPr>
                <w:rFonts w:eastAsia="Times New Roman" w:cstheme="minorHAnsi"/>
                <w:sz w:val="20"/>
                <w:szCs w:val="20"/>
                <w:lang w:val="en"/>
              </w:rPr>
              <w:t xml:space="preserve"> including p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re-briefing, </w:t>
            </w:r>
            <w:r w:rsidR="006E74D7">
              <w:rPr>
                <w:rFonts w:eastAsia="Times New Roman" w:cstheme="minorHAnsi"/>
                <w:sz w:val="20"/>
                <w:szCs w:val="20"/>
                <w:lang w:val="en"/>
              </w:rPr>
              <w:t>d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ebriefing, </w:t>
            </w:r>
            <w:r w:rsidR="006E74D7">
              <w:rPr>
                <w:rFonts w:eastAsia="Times New Roman" w:cstheme="minorHAnsi"/>
                <w:sz w:val="20"/>
                <w:szCs w:val="20"/>
                <w:lang w:val="en"/>
              </w:rPr>
              <w:t>f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acilitation, etc.  </w:t>
            </w:r>
          </w:p>
          <w:p w14:paraId="03A1A235" w14:textId="6978A368" w:rsidR="00290D12" w:rsidRPr="00D97324" w:rsidRDefault="00290D12" w:rsidP="00D97324">
            <w:pPr>
              <w:pStyle w:val="ListParagraph"/>
              <w:numPr>
                <w:ilvl w:val="0"/>
                <w:numId w:val="10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Do the faculty that </w:t>
            </w:r>
            <w:r w:rsidR="00C32093"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evaluate</w:t>
            </w:r>
            <w:r w:rsidR="00C32CCD"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s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the simulation have documented education and training in the use of simulation</w:t>
            </w:r>
            <w:r w:rsidR="00B6406B">
              <w:rPr>
                <w:rFonts w:eastAsia="Times New Roman" w:cstheme="minorHAnsi"/>
                <w:sz w:val="20"/>
                <w:szCs w:val="20"/>
                <w:lang w:val="en"/>
              </w:rPr>
              <w:t>?</w:t>
            </w:r>
          </w:p>
          <w:p w14:paraId="57EC5992" w14:textId="19BD8EFE" w:rsidR="009C4675" w:rsidRPr="00B6406B" w:rsidRDefault="00290D12" w:rsidP="009C4675">
            <w:pPr>
              <w:pStyle w:val="ListParagraph"/>
              <w:numPr>
                <w:ilvl w:val="0"/>
                <w:numId w:val="10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B6406B">
              <w:rPr>
                <w:rFonts w:eastAsia="Times New Roman" w:cstheme="minorHAnsi"/>
                <w:sz w:val="20"/>
                <w:szCs w:val="20"/>
                <w:lang w:val="en"/>
              </w:rPr>
              <w:t xml:space="preserve">Participant Evaluation: Is the simulation selected for </w:t>
            </w:r>
          </w:p>
          <w:p w14:paraId="0310C7DA" w14:textId="2F4A7EB9" w:rsidR="00290D12" w:rsidRPr="009C4675" w:rsidRDefault="009C4675" w:rsidP="009C4675">
            <w:pPr>
              <w:pStyle w:val="ListParagraph"/>
              <w:numPr>
                <w:ilvl w:val="1"/>
                <w:numId w:val="10"/>
              </w:numPr>
              <w:spacing w:before="48" w:after="120"/>
              <w:ind w:left="70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9C4675">
              <w:rPr>
                <w:rFonts w:eastAsia="Times New Roman" w:cstheme="minorHAnsi"/>
                <w:sz w:val="20"/>
                <w:szCs w:val="20"/>
                <w:lang w:val="en"/>
              </w:rPr>
              <w:t>f</w:t>
            </w:r>
            <w:r w:rsidR="00290D12" w:rsidRPr="009C4675">
              <w:rPr>
                <w:rFonts w:eastAsia="Times New Roman" w:cstheme="minorHAnsi"/>
                <w:sz w:val="20"/>
                <w:szCs w:val="20"/>
                <w:lang w:val="en"/>
              </w:rPr>
              <w:t>ormative evaluation</w:t>
            </w:r>
            <w:r w:rsidR="00D97324" w:rsidRPr="009C4675">
              <w:rPr>
                <w:rFonts w:eastAsia="Times New Roman" w:cstheme="minorHAnsi"/>
                <w:sz w:val="20"/>
                <w:szCs w:val="20"/>
                <w:lang w:val="en"/>
              </w:rPr>
              <w:t xml:space="preserve"> which supports </w:t>
            </w:r>
            <w:r w:rsidR="00290D12" w:rsidRPr="009C4675">
              <w:rPr>
                <w:rFonts w:eastAsia="Times New Roman" w:cstheme="minorHAnsi"/>
                <w:sz w:val="20"/>
                <w:szCs w:val="20"/>
                <w:lang w:val="en"/>
              </w:rPr>
              <w:t>clinical competence</w:t>
            </w:r>
            <w:r w:rsidR="00D97324" w:rsidRPr="009C4675">
              <w:rPr>
                <w:rFonts w:eastAsia="Times New Roman" w:cstheme="minorHAnsi"/>
                <w:sz w:val="20"/>
                <w:szCs w:val="20"/>
                <w:lang w:val="en"/>
              </w:rPr>
              <w:t>?</w:t>
            </w:r>
          </w:p>
          <w:p w14:paraId="35CFAC4B" w14:textId="7F3EC9B8" w:rsidR="00290D12" w:rsidRPr="00D97324" w:rsidRDefault="009C4675" w:rsidP="00D97324">
            <w:pPr>
              <w:pStyle w:val="ListParagraph"/>
              <w:numPr>
                <w:ilvl w:val="1"/>
                <w:numId w:val="10"/>
              </w:numPr>
              <w:spacing w:before="48" w:after="120"/>
              <w:ind w:left="700"/>
              <w:rPr>
                <w:rFonts w:eastAsia="Times New Roman" w:cstheme="minorHAnsi"/>
                <w:sz w:val="20"/>
                <w:szCs w:val="20"/>
                <w:lang w:val="en"/>
              </w:rPr>
            </w:pPr>
            <w:r>
              <w:rPr>
                <w:rFonts w:eastAsia="Times New Roman" w:cstheme="minorHAnsi"/>
                <w:sz w:val="20"/>
                <w:szCs w:val="20"/>
                <w:lang w:val="en"/>
              </w:rPr>
              <w:t>s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ummative evaluation </w:t>
            </w:r>
            <w:r w:rsidR="00D97324">
              <w:rPr>
                <w:rFonts w:eastAsia="Times New Roman" w:cstheme="minorHAnsi"/>
                <w:sz w:val="20"/>
                <w:szCs w:val="20"/>
                <w:lang w:val="en"/>
              </w:rPr>
              <w:t>which r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>equires a valid and reliable instrument</w:t>
            </w:r>
            <w:r w:rsidR="00D97324">
              <w:rPr>
                <w:rFonts w:eastAsia="Times New Roman" w:cstheme="minorHAnsi"/>
                <w:sz w:val="20"/>
                <w:szCs w:val="20"/>
                <w:lang w:val="en"/>
              </w:rPr>
              <w:t>?</w:t>
            </w:r>
          </w:p>
          <w:p w14:paraId="7B1198A1" w14:textId="2F9285A1" w:rsidR="00290D12" w:rsidRPr="00D97324" w:rsidRDefault="009C4675" w:rsidP="00D97324">
            <w:pPr>
              <w:pStyle w:val="ListParagraph"/>
              <w:numPr>
                <w:ilvl w:val="1"/>
                <w:numId w:val="10"/>
              </w:numPr>
              <w:spacing w:before="48" w:after="120"/>
              <w:ind w:left="700"/>
              <w:rPr>
                <w:rFonts w:eastAsia="Times New Roman" w:cstheme="minorHAnsi"/>
                <w:sz w:val="20"/>
                <w:szCs w:val="20"/>
                <w:lang w:val="en"/>
              </w:rPr>
            </w:pPr>
            <w:r>
              <w:rPr>
                <w:rFonts w:eastAsia="Times New Roman" w:cstheme="minorHAnsi"/>
                <w:sz w:val="20"/>
                <w:szCs w:val="20"/>
                <w:lang w:val="en"/>
              </w:rPr>
              <w:t>h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>igh stakes evaluation</w:t>
            </w:r>
            <w:r w:rsidR="008F4D54">
              <w:rPr>
                <w:rFonts w:eastAsia="Times New Roman" w:cstheme="minorHAnsi"/>
                <w:sz w:val="20"/>
                <w:szCs w:val="20"/>
                <w:lang w:val="en"/>
              </w:rPr>
              <w:t xml:space="preserve"> which r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>equires a comprehensive tool (</w:t>
            </w:r>
            <w:r w:rsidR="00290D12"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i.e.</w:t>
            </w:r>
            <w:r w:rsidR="00C32CCD"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,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checklist or rubric that clearly outlines desirable and undesirable behaviors</w:t>
            </w:r>
            <w:r w:rsidR="008F4D54">
              <w:rPr>
                <w:rFonts w:eastAsia="Times New Roman" w:cstheme="minorHAnsi"/>
                <w:sz w:val="20"/>
                <w:szCs w:val="20"/>
                <w:lang w:val="en"/>
              </w:rPr>
              <w:t xml:space="preserve"> and u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>ses more than one evaluator</w:t>
            </w:r>
            <w:r w:rsidR="00D97324">
              <w:rPr>
                <w:rFonts w:eastAsia="Times New Roman" w:cstheme="minorHAnsi"/>
                <w:sz w:val="20"/>
                <w:szCs w:val="20"/>
                <w:lang w:val="en"/>
              </w:rPr>
              <w:t>)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. </w:t>
            </w:r>
          </w:p>
        </w:tc>
        <w:tc>
          <w:tcPr>
            <w:tcW w:w="1353" w:type="pct"/>
          </w:tcPr>
          <w:p w14:paraId="6D195218" w14:textId="77777777" w:rsidR="00290D12" w:rsidRPr="00D97324" w:rsidRDefault="00290D12" w:rsidP="00146C79">
            <w:pPr>
              <w:pStyle w:val="ListParagraph"/>
              <w:spacing w:before="48" w:after="120" w:line="300" w:lineRule="atLeast"/>
              <w:ind w:left="36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D97324" w:rsidRPr="00D97324" w14:paraId="14548BE1" w14:textId="77777777" w:rsidTr="00D97324">
        <w:tc>
          <w:tcPr>
            <w:tcW w:w="1180" w:type="pct"/>
          </w:tcPr>
          <w:p w14:paraId="6E135669" w14:textId="77777777" w:rsidR="00920348" w:rsidRPr="00D97324" w:rsidRDefault="00984688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 </w:t>
            </w:r>
            <w:r w:rsidR="00920348" w:rsidRPr="00D97324">
              <w:rPr>
                <w:rFonts w:cstheme="minorHAnsi"/>
                <w:b/>
                <w:sz w:val="20"/>
                <w:szCs w:val="20"/>
              </w:rPr>
              <w:t>Simulation Design</w:t>
            </w:r>
            <w:r w:rsidRPr="00D97324">
              <w:rPr>
                <w:rFonts w:cstheme="minorHAnsi"/>
                <w:b/>
                <w:sz w:val="20"/>
                <w:szCs w:val="20"/>
              </w:rPr>
              <w:t>.</w:t>
            </w:r>
            <w:r w:rsidR="00920348" w:rsidRPr="00D9732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E6F70C" w14:textId="77777777" w:rsidR="00920348" w:rsidRPr="00D97324" w:rsidRDefault="0092034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 xml:space="preserve">ALL Criteria </w:t>
            </w:r>
          </w:p>
          <w:p w14:paraId="15A07FC6" w14:textId="77777777" w:rsidR="00920348" w:rsidRPr="00D97324" w:rsidRDefault="0092034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>Focus on Criteria #3</w:t>
            </w:r>
            <w:r w:rsidR="00984688" w:rsidRPr="00D97324">
              <w:rPr>
                <w:rFonts w:cstheme="minorHAnsi"/>
                <w:sz w:val="20"/>
                <w:szCs w:val="20"/>
              </w:rPr>
              <w:t xml:space="preserve">: </w:t>
            </w:r>
            <w:r w:rsidRPr="00D97324">
              <w:rPr>
                <w:rFonts w:cstheme="minorHAnsi"/>
                <w:sz w:val="20"/>
                <w:szCs w:val="20"/>
              </w:rPr>
              <w:t>Structure the format of a simulation based on the purpose, theory, and modality for t</w:t>
            </w:r>
            <w:r w:rsidR="00984688" w:rsidRPr="00D97324">
              <w:rPr>
                <w:rFonts w:cstheme="minorHAnsi"/>
                <w:sz w:val="20"/>
                <w:szCs w:val="20"/>
              </w:rPr>
              <w:t>he simulation-based experience.</w:t>
            </w:r>
          </w:p>
          <w:p w14:paraId="49527E82" w14:textId="77777777" w:rsidR="00920348" w:rsidRPr="00D97324" w:rsidRDefault="00920348" w:rsidP="00C62EC6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7CCC282D" w14:textId="77777777" w:rsidR="00920348" w:rsidRPr="00D97324" w:rsidRDefault="00984688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 </w:t>
            </w:r>
            <w:r w:rsidR="00920348" w:rsidRPr="00D97324">
              <w:rPr>
                <w:rFonts w:cstheme="minorHAnsi"/>
                <w:b/>
                <w:sz w:val="20"/>
                <w:szCs w:val="20"/>
              </w:rPr>
              <w:t xml:space="preserve"> Participant Evaluation.</w:t>
            </w:r>
          </w:p>
          <w:p w14:paraId="3F2E3637" w14:textId="77777777" w:rsidR="00920348" w:rsidRPr="00D97324" w:rsidRDefault="0092034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 xml:space="preserve">Required element #2: Simulation-based experiences may be selected for formative evaluation. </w:t>
            </w:r>
          </w:p>
          <w:p w14:paraId="6AE2BD29" w14:textId="77777777" w:rsidR="00290D12" w:rsidRPr="00D97324" w:rsidRDefault="00290D12" w:rsidP="00C62EC6">
            <w:pPr>
              <w:spacing w:before="48" w:after="120"/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</w:p>
        </w:tc>
        <w:tc>
          <w:tcPr>
            <w:tcW w:w="1111" w:type="pct"/>
          </w:tcPr>
          <w:p w14:paraId="177FBE4A" w14:textId="77777777" w:rsidR="000221DA" w:rsidRPr="00D97324" w:rsidRDefault="000221DA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6301.2340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 xml:space="preserve"> Subpart 3.</w:t>
            </w:r>
            <w:r w:rsidRPr="00D97324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>. (3)</w:t>
            </w:r>
          </w:p>
          <w:p w14:paraId="1AB3E20B" w14:textId="77777777" w:rsidR="00290D12" w:rsidRPr="00D97324" w:rsidRDefault="00290D12" w:rsidP="00C62EC6">
            <w:p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the design, implementation, and evaluation of the simulation is based on nationally recognized evidence-based standards for simulation;</w:t>
            </w:r>
          </w:p>
          <w:p w14:paraId="01F38C94" w14:textId="77777777" w:rsidR="00290D12" w:rsidRPr="00D97324" w:rsidRDefault="00290D12" w:rsidP="00C62E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pct"/>
          </w:tcPr>
          <w:p w14:paraId="7764AF4D" w14:textId="3A68E834" w:rsidR="00290D12" w:rsidRPr="00D97324" w:rsidRDefault="00290D12" w:rsidP="00D97324">
            <w:pPr>
              <w:pStyle w:val="ListParagraph"/>
              <w:numPr>
                <w:ilvl w:val="0"/>
                <w:numId w:val="11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Is the design based on nationally recognized standards? </w:t>
            </w:r>
          </w:p>
          <w:p w14:paraId="6CA61D40" w14:textId="77777777" w:rsidR="00290D12" w:rsidRPr="00D97324" w:rsidRDefault="00290D12" w:rsidP="00D97324">
            <w:pPr>
              <w:pStyle w:val="ListParagraph"/>
              <w:numPr>
                <w:ilvl w:val="0"/>
                <w:numId w:val="11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Is the implementation based on nationally recognized standards? </w:t>
            </w:r>
          </w:p>
          <w:p w14:paraId="3BBD0FF8" w14:textId="77777777" w:rsidR="00290D12" w:rsidRPr="00D97324" w:rsidRDefault="00290D12" w:rsidP="00D97324">
            <w:pPr>
              <w:pStyle w:val="ListParagraph"/>
              <w:numPr>
                <w:ilvl w:val="0"/>
                <w:numId w:val="11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Is the evaluation based on nationally recognized </w:t>
            </w:r>
            <w:r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evidence</w:t>
            </w:r>
            <w:r w:rsidR="00C32CCD"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-</w:t>
            </w:r>
            <w:r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based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r w:rsidR="00C62EC6" w:rsidRPr="00D97324">
              <w:rPr>
                <w:rFonts w:eastAsia="Times New Roman" w:cstheme="minorHAnsi"/>
                <w:sz w:val="20"/>
                <w:szCs w:val="20"/>
                <w:lang w:val="en"/>
              </w:rPr>
              <w:t>standards?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353" w:type="pct"/>
          </w:tcPr>
          <w:p w14:paraId="5F1A7056" w14:textId="77777777" w:rsidR="00290D12" w:rsidRPr="00D97324" w:rsidRDefault="00290D12" w:rsidP="002609FE">
            <w:pPr>
              <w:spacing w:before="48" w:after="120" w:line="300" w:lineRule="atLeast"/>
              <w:ind w:firstLine="48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D97324" w:rsidRPr="00D97324" w14:paraId="3FA26C82" w14:textId="77777777" w:rsidTr="00D97324">
        <w:tc>
          <w:tcPr>
            <w:tcW w:w="1180" w:type="pct"/>
          </w:tcPr>
          <w:p w14:paraId="0A86FB27" w14:textId="77777777" w:rsidR="003B1C1F" w:rsidRPr="00D97324" w:rsidRDefault="0098468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</w:t>
            </w:r>
            <w:r w:rsidR="00B03AED" w:rsidRPr="00D97324">
              <w:rPr>
                <w:rFonts w:cstheme="minorHAnsi"/>
                <w:b/>
                <w:sz w:val="20"/>
                <w:szCs w:val="20"/>
              </w:rPr>
              <w:t xml:space="preserve"> Participant Evaluation.</w:t>
            </w:r>
            <w:r w:rsidR="00B03AED" w:rsidRPr="00D9732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75DB46C" w14:textId="77777777" w:rsidR="00B03AED" w:rsidRPr="00D97324" w:rsidRDefault="00B03AED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Required element #2:</w:t>
            </w:r>
            <w:r w:rsidRPr="00D97324">
              <w:rPr>
                <w:rFonts w:cstheme="minorHAnsi"/>
                <w:sz w:val="20"/>
                <w:szCs w:val="20"/>
              </w:rPr>
              <w:t xml:space="preserve"> Simulation-based experiences may be selected for formative evaluation. </w:t>
            </w:r>
          </w:p>
          <w:p w14:paraId="6516A7DD" w14:textId="77777777" w:rsidR="0059450D" w:rsidRPr="00D97324" w:rsidRDefault="0059450D" w:rsidP="00721235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  <w:tc>
          <w:tcPr>
            <w:tcW w:w="1111" w:type="pct"/>
          </w:tcPr>
          <w:p w14:paraId="3132A8D2" w14:textId="77777777" w:rsidR="00D50D5F" w:rsidRPr="00D97324" w:rsidRDefault="00D50D5F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6301.2340 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 xml:space="preserve">Subpart 3. </w:t>
            </w:r>
            <w:r w:rsidRPr="00D97324">
              <w:rPr>
                <w:rFonts w:cstheme="minorHAnsi"/>
                <w:b/>
                <w:sz w:val="20"/>
                <w:szCs w:val="20"/>
              </w:rPr>
              <w:t>B</w:t>
            </w:r>
            <w:r w:rsidR="006F4E90" w:rsidRPr="00D97324">
              <w:rPr>
                <w:rFonts w:cstheme="minorHAnsi"/>
                <w:b/>
                <w:sz w:val="20"/>
                <w:szCs w:val="20"/>
              </w:rPr>
              <w:t>. (4)</w:t>
            </w:r>
          </w:p>
          <w:p w14:paraId="7F834A77" w14:textId="77777777" w:rsidR="0020663F" w:rsidRPr="00D97324" w:rsidRDefault="00290D12" w:rsidP="00D97324">
            <w:pPr>
              <w:spacing w:before="48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the simulation provides an opportunity for each student to demonstrate clinical competence while in the role of the nurse;</w:t>
            </w:r>
          </w:p>
          <w:p w14:paraId="6ACCB0B0" w14:textId="77777777" w:rsidR="0020663F" w:rsidRPr="00D97324" w:rsidRDefault="0020663F" w:rsidP="00C62EC6">
            <w:pPr>
              <w:rPr>
                <w:rFonts w:cstheme="minorHAnsi"/>
                <w:sz w:val="20"/>
                <w:szCs w:val="20"/>
              </w:rPr>
            </w:pPr>
          </w:p>
          <w:p w14:paraId="49A33AB6" w14:textId="77777777" w:rsidR="00D97324" w:rsidRDefault="0020663F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 xml:space="preserve">Use the Nurse Practice Act for the Practice of Practical Nursing and the Practice of Professional Nursing for </w:t>
            </w:r>
            <w:r w:rsidR="00865DA9" w:rsidRPr="00D97324">
              <w:rPr>
                <w:rFonts w:cstheme="minorHAnsi"/>
                <w:sz w:val="20"/>
                <w:szCs w:val="20"/>
              </w:rPr>
              <w:t xml:space="preserve">the breadth of performance </w:t>
            </w:r>
            <w:r w:rsidR="006A19DD" w:rsidRPr="00D97324">
              <w:rPr>
                <w:rFonts w:cstheme="minorHAnsi"/>
                <w:sz w:val="20"/>
                <w:szCs w:val="20"/>
              </w:rPr>
              <w:t>in the role of the</w:t>
            </w:r>
            <w:r w:rsidR="00865DA9" w:rsidRPr="00D97324">
              <w:rPr>
                <w:rFonts w:cstheme="minorHAnsi"/>
                <w:sz w:val="20"/>
                <w:szCs w:val="20"/>
              </w:rPr>
              <w:t xml:space="preserve"> nurse</w:t>
            </w:r>
            <w:r w:rsidRPr="00D97324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16102BD1" w14:textId="77777777" w:rsidR="00D97324" w:rsidRPr="00D97324" w:rsidRDefault="00D92530" w:rsidP="00D97324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D97324" w:rsidRPr="00D97324">
                <w:rPr>
                  <w:rStyle w:val="Hyperlink"/>
                  <w:rFonts w:cstheme="minorHAnsi"/>
                  <w:sz w:val="20"/>
                  <w:szCs w:val="20"/>
                </w:rPr>
                <w:t>https://mn.gov/boards/nursing/practice/nursing-practice-topics/scope-of-practice.jsp</w:t>
              </w:r>
            </w:hyperlink>
          </w:p>
          <w:p w14:paraId="056DA049" w14:textId="77777777" w:rsidR="0020663F" w:rsidRDefault="0020663F" w:rsidP="00C62EC6">
            <w:pPr>
              <w:rPr>
                <w:rFonts w:cstheme="minorHAnsi"/>
                <w:sz w:val="20"/>
                <w:szCs w:val="20"/>
              </w:rPr>
            </w:pPr>
          </w:p>
          <w:p w14:paraId="59AABC34" w14:textId="73491B8F" w:rsidR="00290D12" w:rsidRPr="00D97324" w:rsidRDefault="00D97324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sz w:val="20"/>
                <w:szCs w:val="20"/>
              </w:rPr>
              <w:t xml:space="preserve">There can be more than one nurse in a simulation scenario. </w:t>
            </w:r>
          </w:p>
        </w:tc>
        <w:tc>
          <w:tcPr>
            <w:tcW w:w="1356" w:type="pct"/>
          </w:tcPr>
          <w:p w14:paraId="0602ECC3" w14:textId="77777777" w:rsidR="005C77E8" w:rsidRPr="00D97324" w:rsidRDefault="005C77E8" w:rsidP="00D97324">
            <w:pPr>
              <w:pStyle w:val="ListParagraph"/>
              <w:numPr>
                <w:ilvl w:val="0"/>
                <w:numId w:val="12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What are the </w:t>
            </w:r>
            <w:r w:rsidR="00931B10" w:rsidRPr="00D97324">
              <w:rPr>
                <w:rFonts w:eastAsia="Times New Roman" w:cstheme="minorHAnsi"/>
                <w:sz w:val="20"/>
                <w:szCs w:val="20"/>
                <w:lang w:val="en"/>
              </w:rPr>
              <w:t>nurses’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roles in your simulation? </w:t>
            </w:r>
          </w:p>
          <w:p w14:paraId="3941AE76" w14:textId="6FE328E0" w:rsidR="00290D12" w:rsidRPr="00D97324" w:rsidRDefault="00E43331" w:rsidP="00D97324">
            <w:pPr>
              <w:pStyle w:val="ListParagraph"/>
              <w:numPr>
                <w:ilvl w:val="0"/>
                <w:numId w:val="12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bookmarkStart w:id="0" w:name="_GoBack"/>
            <w:r w:rsidRPr="009D679E">
              <w:rPr>
                <w:rFonts w:eastAsia="Times New Roman" w:cstheme="minorHAnsi"/>
                <w:sz w:val="20"/>
                <w:szCs w:val="20"/>
                <w:lang w:val="en"/>
              </w:rPr>
              <w:t>How does</w:t>
            </w:r>
            <w:r w:rsidR="00290D12" w:rsidRPr="009D679E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bookmarkEnd w:id="0"/>
            <w:r w:rsidR="00290D12" w:rsidRPr="009D679E">
              <w:rPr>
                <w:rFonts w:eastAsia="Times New Roman" w:cstheme="minorHAnsi"/>
                <w:sz w:val="20"/>
                <w:szCs w:val="20"/>
                <w:lang w:val="en"/>
              </w:rPr>
              <w:t>e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>ach student demonstrate clinical competence while in the role of the nurse</w:t>
            </w:r>
            <w:r w:rsidR="005F7557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  <w:r w:rsidR="0020663F" w:rsidRPr="00D97324">
              <w:rPr>
                <w:rFonts w:eastAsia="Times New Roman" w:cstheme="minorHAnsi"/>
                <w:sz w:val="20"/>
                <w:szCs w:val="20"/>
                <w:lang w:val="en"/>
              </w:rPr>
              <w:t>according to the MBN’s Program Approval Rules</w:t>
            </w:r>
            <w:r w:rsidR="00290D12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? </w:t>
            </w:r>
          </w:p>
        </w:tc>
        <w:tc>
          <w:tcPr>
            <w:tcW w:w="1353" w:type="pct"/>
          </w:tcPr>
          <w:p w14:paraId="27CEB27F" w14:textId="77777777" w:rsidR="00290D12" w:rsidRPr="00D97324" w:rsidRDefault="00290D12" w:rsidP="002609FE">
            <w:pPr>
              <w:spacing w:before="48" w:after="120" w:line="300" w:lineRule="atLeast"/>
              <w:ind w:firstLine="48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D97324" w:rsidRPr="00D97324" w14:paraId="4E0504FD" w14:textId="77777777" w:rsidTr="00D97324">
        <w:tc>
          <w:tcPr>
            <w:tcW w:w="1180" w:type="pct"/>
          </w:tcPr>
          <w:p w14:paraId="55297DCF" w14:textId="77777777" w:rsidR="00984688" w:rsidRPr="00D97324" w:rsidRDefault="00984688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INACSL Standard of Best Practice:  </w:t>
            </w:r>
            <w:r w:rsidR="00400660" w:rsidRPr="00D97324">
              <w:rPr>
                <w:rFonts w:cstheme="minorHAnsi"/>
                <w:b/>
                <w:sz w:val="20"/>
                <w:szCs w:val="20"/>
              </w:rPr>
              <w:t>Simulation Facilitation</w:t>
            </w:r>
            <w:r w:rsidRPr="00D97324">
              <w:rPr>
                <w:rFonts w:cstheme="minorHAnsi"/>
                <w:sz w:val="20"/>
                <w:szCs w:val="20"/>
              </w:rPr>
              <w:t>.</w:t>
            </w:r>
          </w:p>
          <w:p w14:paraId="33CC4C16" w14:textId="77777777" w:rsidR="00400660" w:rsidRPr="00D97324" w:rsidRDefault="00400660" w:rsidP="00C62EC6">
            <w:pPr>
              <w:rPr>
                <w:rFonts w:cstheme="minorHAnsi"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Criteria 1</w:t>
            </w:r>
            <w:r w:rsidRPr="00D97324">
              <w:rPr>
                <w:rFonts w:cstheme="minorHAnsi"/>
                <w:sz w:val="20"/>
                <w:szCs w:val="20"/>
              </w:rPr>
              <w:t>.</w:t>
            </w:r>
            <w:r w:rsidR="00984688" w:rsidRPr="00D97324">
              <w:rPr>
                <w:rFonts w:cstheme="minorHAnsi"/>
                <w:sz w:val="20"/>
                <w:szCs w:val="20"/>
              </w:rPr>
              <w:t xml:space="preserve"> </w:t>
            </w:r>
            <w:r w:rsidRPr="00D97324">
              <w:rPr>
                <w:rFonts w:cstheme="minorHAnsi"/>
                <w:sz w:val="20"/>
                <w:szCs w:val="20"/>
              </w:rPr>
              <w:t>Effective facilitation requires a facilitator who has specific skills and knowledge in simulation pedagogy</w:t>
            </w:r>
            <w:r w:rsidR="00984688" w:rsidRPr="00D97324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F8FB252" w14:textId="77777777" w:rsidR="005F1C4B" w:rsidRPr="00D97324" w:rsidRDefault="005F1C4B" w:rsidP="00C62EC6">
            <w:pPr>
              <w:rPr>
                <w:rFonts w:cstheme="minorHAnsi"/>
                <w:sz w:val="20"/>
                <w:szCs w:val="20"/>
              </w:rPr>
            </w:pPr>
          </w:p>
          <w:p w14:paraId="06B8D4D3" w14:textId="77777777" w:rsidR="00400660" w:rsidRPr="00D97324" w:rsidRDefault="00984688" w:rsidP="00C62EC6">
            <w:pPr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 xml:space="preserve">Criteria </w:t>
            </w:r>
            <w:r w:rsidR="00400660" w:rsidRPr="00D97324">
              <w:rPr>
                <w:rFonts w:cstheme="minorHAnsi"/>
                <w:b/>
                <w:sz w:val="20"/>
                <w:szCs w:val="20"/>
              </w:rPr>
              <w:t xml:space="preserve">3: </w:t>
            </w:r>
            <w:r w:rsidR="00400660" w:rsidRPr="00D97324">
              <w:rPr>
                <w:rFonts w:cstheme="minorHAnsi"/>
                <w:sz w:val="20"/>
                <w:szCs w:val="20"/>
              </w:rPr>
              <w:t>Structure the format of a simulation based on the purpose, theory, and modality for the simulat</w:t>
            </w:r>
            <w:r w:rsidRPr="00D97324">
              <w:rPr>
                <w:rFonts w:cstheme="minorHAnsi"/>
                <w:sz w:val="20"/>
                <w:szCs w:val="20"/>
              </w:rPr>
              <w:t>ion-based experience.</w:t>
            </w:r>
          </w:p>
        </w:tc>
        <w:tc>
          <w:tcPr>
            <w:tcW w:w="1111" w:type="pct"/>
          </w:tcPr>
          <w:p w14:paraId="7BC95EBE" w14:textId="77777777" w:rsidR="008F6216" w:rsidRPr="00D97324" w:rsidRDefault="008F6216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6301.2340</w:t>
            </w:r>
            <w:r w:rsidR="0020663F" w:rsidRPr="00D97324">
              <w:rPr>
                <w:rFonts w:cstheme="minorHAnsi"/>
                <w:b/>
                <w:sz w:val="20"/>
                <w:szCs w:val="20"/>
              </w:rPr>
              <w:t xml:space="preserve"> Subpart 3.</w:t>
            </w:r>
            <w:r w:rsidRPr="00D97324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20663F" w:rsidRPr="00D97324">
              <w:rPr>
                <w:rFonts w:cstheme="minorHAnsi"/>
                <w:b/>
                <w:sz w:val="20"/>
                <w:szCs w:val="20"/>
              </w:rPr>
              <w:t>. (5)</w:t>
            </w:r>
          </w:p>
          <w:p w14:paraId="774492C9" w14:textId="77777777" w:rsidR="00400660" w:rsidRPr="00D97324" w:rsidRDefault="008F6216" w:rsidP="00C62EC6">
            <w:p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P</w:t>
            </w:r>
            <w:r w:rsidR="00400660" w:rsidRPr="00D97324">
              <w:rPr>
                <w:rFonts w:eastAsia="Times New Roman" w:cstheme="minorHAnsi"/>
                <w:sz w:val="20"/>
                <w:szCs w:val="20"/>
                <w:lang w:val="en"/>
              </w:rPr>
              <w:t>re</w:t>
            </w:r>
            <w:r w:rsidR="003B1C1F" w:rsidRPr="00D97324">
              <w:rPr>
                <w:rFonts w:eastAsia="Times New Roman" w:cstheme="minorHAnsi"/>
                <w:sz w:val="20"/>
                <w:szCs w:val="20"/>
                <w:lang w:val="en"/>
              </w:rPr>
              <w:t>-</w:t>
            </w:r>
            <w:r w:rsidR="00400660" w:rsidRPr="00D97324">
              <w:rPr>
                <w:rFonts w:eastAsia="Times New Roman" w:cstheme="minorHAnsi"/>
                <w:sz w:val="20"/>
                <w:szCs w:val="20"/>
                <w:lang w:val="en"/>
              </w:rPr>
              <w:t>briefing and debriefing are conducted by nursing faculty with subject matter expertise and training in simulation using evidence-based techniques; and</w:t>
            </w:r>
          </w:p>
          <w:p w14:paraId="1CC01B4A" w14:textId="77777777" w:rsidR="00400660" w:rsidRPr="00D97324" w:rsidRDefault="00400660" w:rsidP="00C62E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0E39983" w14:textId="0B4C92F5" w:rsidR="00400660" w:rsidRPr="00D97324" w:rsidRDefault="00400660" w:rsidP="00D97324">
            <w:pPr>
              <w:pStyle w:val="ListParagraph"/>
              <w:numPr>
                <w:ilvl w:val="0"/>
                <w:numId w:val="13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Do </w:t>
            </w:r>
            <w:r w:rsidR="00A51F7E">
              <w:rPr>
                <w:rFonts w:eastAsia="Times New Roman" w:cstheme="minorHAnsi"/>
                <w:sz w:val="20"/>
                <w:szCs w:val="20"/>
                <w:lang w:val="en"/>
              </w:rPr>
              <w:t>the faculty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have subject matter expertise in pre-briefing?  What is </w:t>
            </w:r>
            <w:r w:rsidR="00A32B93">
              <w:rPr>
                <w:rFonts w:eastAsia="Times New Roman" w:cstheme="minorHAnsi"/>
                <w:sz w:val="20"/>
                <w:szCs w:val="20"/>
                <w:lang w:val="en"/>
              </w:rPr>
              <w:t>the nursing programs evidence?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</w:t>
            </w:r>
          </w:p>
          <w:p w14:paraId="0684EFD7" w14:textId="2642F4AA" w:rsidR="00400660" w:rsidRPr="00D97324" w:rsidRDefault="00400660" w:rsidP="00D97324">
            <w:pPr>
              <w:pStyle w:val="ListParagraph"/>
              <w:numPr>
                <w:ilvl w:val="0"/>
                <w:numId w:val="13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What evidence-based techniques do </w:t>
            </w:r>
            <w:r w:rsidR="00A51F7E">
              <w:rPr>
                <w:rFonts w:eastAsia="Times New Roman" w:cstheme="minorHAnsi"/>
                <w:sz w:val="20"/>
                <w:szCs w:val="20"/>
                <w:lang w:val="en"/>
              </w:rPr>
              <w:t>the faculty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use for pre-briefing? </w:t>
            </w:r>
          </w:p>
          <w:p w14:paraId="34F1B5E4" w14:textId="0549E21A" w:rsidR="00400660" w:rsidRPr="00D97324" w:rsidRDefault="00400660" w:rsidP="00D97324">
            <w:pPr>
              <w:pStyle w:val="ListParagraph"/>
              <w:numPr>
                <w:ilvl w:val="0"/>
                <w:numId w:val="13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Do </w:t>
            </w:r>
            <w:r w:rsidR="00A51F7E">
              <w:rPr>
                <w:rFonts w:eastAsia="Times New Roman" w:cstheme="minorHAnsi"/>
                <w:sz w:val="20"/>
                <w:szCs w:val="20"/>
                <w:lang w:val="en"/>
              </w:rPr>
              <w:t>the faculty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have subject matter expertise in debriefing? What is </w:t>
            </w:r>
            <w:r w:rsidR="00A32B93">
              <w:rPr>
                <w:rFonts w:eastAsia="Times New Roman" w:cstheme="minorHAnsi"/>
                <w:sz w:val="20"/>
                <w:szCs w:val="20"/>
                <w:lang w:val="en"/>
              </w:rPr>
              <w:t>the nursing programs evidence?</w:t>
            </w:r>
          </w:p>
          <w:p w14:paraId="37DBBACE" w14:textId="249E206B" w:rsidR="00400660" w:rsidRPr="00D97324" w:rsidRDefault="00400660" w:rsidP="00D97324">
            <w:pPr>
              <w:pStyle w:val="ListParagraph"/>
              <w:numPr>
                <w:ilvl w:val="0"/>
                <w:numId w:val="13"/>
              </w:numPr>
              <w:spacing w:before="48" w:after="120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What evidence-based techniques do</w:t>
            </w:r>
            <w:r w:rsidR="00A32B93">
              <w:rPr>
                <w:rFonts w:eastAsia="Times New Roman" w:cstheme="minorHAnsi"/>
                <w:sz w:val="20"/>
                <w:szCs w:val="20"/>
                <w:lang w:val="en"/>
              </w:rPr>
              <w:t xml:space="preserve"> the faculty 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use for debriefing? </w:t>
            </w:r>
          </w:p>
        </w:tc>
        <w:tc>
          <w:tcPr>
            <w:tcW w:w="1353" w:type="pct"/>
          </w:tcPr>
          <w:p w14:paraId="039A358D" w14:textId="77777777" w:rsidR="00400660" w:rsidRPr="00D97324" w:rsidRDefault="00400660" w:rsidP="00400660">
            <w:pPr>
              <w:spacing w:before="48" w:after="120" w:line="300" w:lineRule="atLeast"/>
              <w:ind w:firstLine="48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  <w:tr w:rsidR="00D97324" w:rsidRPr="00D97324" w14:paraId="4F7EFC52" w14:textId="77777777" w:rsidTr="00D97324">
        <w:tc>
          <w:tcPr>
            <w:tcW w:w="1180" w:type="pct"/>
          </w:tcPr>
          <w:p w14:paraId="319D428A" w14:textId="77777777" w:rsidR="002976FE" w:rsidRPr="00D97324" w:rsidRDefault="002976FE" w:rsidP="00C62EC6">
            <w:pPr>
              <w:rPr>
                <w:rFonts w:eastAsia="Times New Roman" w:cstheme="minorHAnsi"/>
                <w:b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>NCSBN Simulation Guidelines for Prelicensure Nursing Programs.</w:t>
            </w:r>
          </w:p>
          <w:p w14:paraId="790E7FCC" w14:textId="77777777" w:rsidR="00400660" w:rsidRPr="00D97324" w:rsidRDefault="002976FE" w:rsidP="00C62EC6">
            <w:pPr>
              <w:spacing w:before="48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b/>
                <w:sz w:val="20"/>
                <w:szCs w:val="20"/>
                <w:lang w:val="en"/>
              </w:rPr>
              <w:t xml:space="preserve">6.4 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A prelicensure nursing education program (“program”) may use simulation as a substitute for traditional clinical experiences, not to exceed fifty percent (50%) of its clinical hours. A program that uses simulation shall adhere to the standards set in this section.</w:t>
            </w:r>
          </w:p>
        </w:tc>
        <w:tc>
          <w:tcPr>
            <w:tcW w:w="1111" w:type="pct"/>
          </w:tcPr>
          <w:p w14:paraId="3C49A2E1" w14:textId="77777777" w:rsidR="009E3E88" w:rsidRPr="00D97324" w:rsidRDefault="009E3E88" w:rsidP="00C62EC6">
            <w:pPr>
              <w:rPr>
                <w:rFonts w:cstheme="minorHAnsi"/>
                <w:b/>
                <w:sz w:val="20"/>
                <w:szCs w:val="20"/>
              </w:rPr>
            </w:pPr>
            <w:r w:rsidRPr="00D97324">
              <w:rPr>
                <w:rFonts w:cstheme="minorHAnsi"/>
                <w:b/>
                <w:sz w:val="20"/>
                <w:szCs w:val="20"/>
              </w:rPr>
              <w:t>6301.2340</w:t>
            </w:r>
            <w:r w:rsidR="000F47A5" w:rsidRPr="00D97324">
              <w:rPr>
                <w:rFonts w:cstheme="minorHAnsi"/>
                <w:b/>
                <w:sz w:val="20"/>
                <w:szCs w:val="20"/>
              </w:rPr>
              <w:t xml:space="preserve"> Subpart 3.</w:t>
            </w:r>
            <w:r w:rsidRPr="00D97324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20663F" w:rsidRPr="00D97324">
              <w:rPr>
                <w:rFonts w:cstheme="minorHAnsi"/>
                <w:b/>
                <w:sz w:val="20"/>
                <w:szCs w:val="20"/>
              </w:rPr>
              <w:t>. (6)</w:t>
            </w:r>
          </w:p>
          <w:p w14:paraId="6FFA6F9F" w14:textId="77777777" w:rsidR="00400660" w:rsidRPr="00D97324" w:rsidRDefault="009E3E88" w:rsidP="00C62EC6">
            <w:pPr>
              <w:spacing w:before="48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>H</w:t>
            </w:r>
            <w:r w:rsidR="00400660" w:rsidRPr="00D97324">
              <w:rPr>
                <w:rFonts w:eastAsia="Times New Roman" w:cstheme="minorHAnsi"/>
                <w:sz w:val="20"/>
                <w:szCs w:val="20"/>
                <w:lang w:val="en"/>
              </w:rPr>
              <w:t>igh-fidelity simulation is utilized for no more than half of the time designated for meeting clinical learning requirements.</w:t>
            </w:r>
          </w:p>
          <w:p w14:paraId="75991773" w14:textId="77777777" w:rsidR="00400660" w:rsidRPr="00D97324" w:rsidRDefault="00400660" w:rsidP="00C62E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D259E2D" w14:textId="77777777" w:rsidR="0020663F" w:rsidRPr="00D97324" w:rsidRDefault="00400660" w:rsidP="00D97324">
            <w:pPr>
              <w:pStyle w:val="ListParagraph"/>
              <w:numPr>
                <w:ilvl w:val="0"/>
                <w:numId w:val="14"/>
              </w:numPr>
              <w:spacing w:before="48"/>
              <w:rPr>
                <w:rFonts w:eastAsia="Times New Roman" w:cstheme="minorHAnsi"/>
                <w:sz w:val="20"/>
                <w:szCs w:val="20"/>
                <w:lang w:val="en"/>
              </w:rPr>
            </w:pP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What </w:t>
            </w:r>
            <w:r w:rsidR="00D97324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percentage 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of </w:t>
            </w:r>
            <w:r w:rsidRPr="00D97324">
              <w:rPr>
                <w:rFonts w:eastAsia="Times New Roman" w:cstheme="minorHAnsi"/>
                <w:noProof/>
                <w:sz w:val="20"/>
                <w:szCs w:val="20"/>
                <w:lang w:val="en"/>
              </w:rPr>
              <w:t>clinical</w:t>
            </w:r>
            <w:r w:rsidR="006513FE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time is simulation used</w:t>
            </w:r>
            <w:r w:rsidR="00BE5381"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 within the entire program</w:t>
            </w:r>
            <w:r w:rsidRPr="00D97324">
              <w:rPr>
                <w:rFonts w:eastAsia="Times New Roman" w:cstheme="minorHAnsi"/>
                <w:sz w:val="20"/>
                <w:szCs w:val="20"/>
                <w:lang w:val="en"/>
              </w:rPr>
              <w:t xml:space="preserve">? </w:t>
            </w:r>
          </w:p>
        </w:tc>
        <w:tc>
          <w:tcPr>
            <w:tcW w:w="1353" w:type="pct"/>
          </w:tcPr>
          <w:p w14:paraId="7731E083" w14:textId="77777777" w:rsidR="00400660" w:rsidRPr="00D97324" w:rsidRDefault="00400660" w:rsidP="00400660">
            <w:pPr>
              <w:spacing w:before="48" w:line="300" w:lineRule="atLeast"/>
              <w:ind w:firstLine="480"/>
              <w:rPr>
                <w:rFonts w:eastAsia="Times New Roman" w:cstheme="minorHAnsi"/>
                <w:sz w:val="20"/>
                <w:szCs w:val="20"/>
                <w:lang w:val="en"/>
              </w:rPr>
            </w:pPr>
          </w:p>
        </w:tc>
      </w:tr>
    </w:tbl>
    <w:p w14:paraId="55A2C402" w14:textId="77777777" w:rsidR="002609FE" w:rsidRPr="00984688" w:rsidRDefault="00D92530" w:rsidP="002609FE">
      <w:pPr>
        <w:spacing w:after="0" w:line="288" w:lineRule="atLeast"/>
        <w:rPr>
          <w:rFonts w:eastAsia="Times New Roman" w:cstheme="minorHAnsi"/>
          <w:lang w:val="en"/>
        </w:rPr>
      </w:pPr>
      <w:hyperlink r:id="rId9" w:anchor="rule.6301.2340.3.B.5" w:tooltip="Link to subitem 5" w:history="1">
        <w:r w:rsidR="002609FE" w:rsidRPr="00984688">
          <w:rPr>
            <w:rFonts w:eastAsia="Times New Roman" w:cstheme="minorHAnsi"/>
            <w:b/>
            <w:bCs/>
            <w:vanish/>
            <w:lang w:val="en"/>
          </w:rPr>
          <w:t>§</w:t>
        </w:r>
      </w:hyperlink>
      <w:r w:rsidR="002609FE" w:rsidRPr="00984688">
        <w:rPr>
          <w:rFonts w:eastAsia="Times New Roman" w:cstheme="minorHAnsi"/>
          <w:lang w:val="en"/>
        </w:rPr>
        <w:t xml:space="preserve"> </w:t>
      </w:r>
    </w:p>
    <w:p w14:paraId="31BF4C5F" w14:textId="77777777" w:rsidR="00C26275" w:rsidRPr="00984688" w:rsidRDefault="00C26275" w:rsidP="00C26275">
      <w:r w:rsidRPr="00984688">
        <w:t xml:space="preserve">References: </w:t>
      </w:r>
      <w:r>
        <w:t xml:space="preserve">  </w:t>
      </w:r>
    </w:p>
    <w:p w14:paraId="12E1A5C4" w14:textId="77777777" w:rsidR="00C26275" w:rsidRDefault="00C26275" w:rsidP="00C26275">
      <w:pPr>
        <w:rPr>
          <w:b/>
        </w:rPr>
      </w:pPr>
      <w:r w:rsidRPr="00F64F24">
        <w:rPr>
          <w:b/>
        </w:rPr>
        <w:t xml:space="preserve">INACSL Standards: Retrieved from </w:t>
      </w:r>
      <w:hyperlink r:id="rId10" w:history="1">
        <w:r w:rsidRPr="00226500">
          <w:rPr>
            <w:rStyle w:val="Hyperlink"/>
            <w:b/>
          </w:rPr>
          <w:t>https://www.inacsl.org/inacsl-standards-of-best-practice-simulation/</w:t>
        </w:r>
      </w:hyperlink>
    </w:p>
    <w:p w14:paraId="75A10E17" w14:textId="77777777" w:rsidR="00C26275" w:rsidRPr="00984688" w:rsidRDefault="00C26275" w:rsidP="00C26275">
      <w:pPr>
        <w:rPr>
          <w:b/>
        </w:rPr>
      </w:pPr>
      <w:r w:rsidRPr="00984688">
        <w:rPr>
          <w:b/>
        </w:rPr>
        <w:t xml:space="preserve">Minnesota Statute 6301.2340 retrieved from </w:t>
      </w:r>
      <w:hyperlink r:id="rId11" w:history="1">
        <w:r w:rsidRPr="00984688">
          <w:rPr>
            <w:rStyle w:val="Hyperlink"/>
            <w:b/>
            <w:color w:val="auto"/>
          </w:rPr>
          <w:t>https://www.revisor.mn.gov/rules/6301.2340/</w:t>
        </w:r>
      </w:hyperlink>
    </w:p>
    <w:p w14:paraId="3EA689E8" w14:textId="77777777" w:rsidR="00C26275" w:rsidRDefault="00C26275" w:rsidP="00C26275">
      <w:pPr>
        <w:rPr>
          <w:rStyle w:val="Hyperlink"/>
          <w:b/>
          <w:color w:val="auto"/>
        </w:rPr>
      </w:pPr>
      <w:r w:rsidRPr="00984688">
        <w:rPr>
          <w:b/>
        </w:rPr>
        <w:t xml:space="preserve">NCSBN Simulation Guidelines for Prelicensure Nursing Programs: retrieved from </w:t>
      </w:r>
      <w:hyperlink r:id="rId12" w:history="1">
        <w:r w:rsidRPr="00984688">
          <w:rPr>
            <w:rStyle w:val="Hyperlink"/>
            <w:b/>
            <w:color w:val="auto"/>
          </w:rPr>
          <w:t>https://www.ncsbn.org/11494.htm</w:t>
        </w:r>
      </w:hyperlink>
    </w:p>
    <w:p w14:paraId="1605655F" w14:textId="77777777" w:rsidR="00C26275" w:rsidRPr="00984688" w:rsidRDefault="00C26275" w:rsidP="00C26275">
      <w:pPr>
        <w:rPr>
          <w:b/>
        </w:rPr>
      </w:pPr>
    </w:p>
    <w:p w14:paraId="680EAA0D" w14:textId="77777777" w:rsidR="00C26275" w:rsidRPr="001A38DC" w:rsidRDefault="00C26275" w:rsidP="00C26275">
      <w:pPr>
        <w:rPr>
          <w:sz w:val="20"/>
          <w:szCs w:val="20"/>
        </w:rPr>
      </w:pPr>
      <w:r w:rsidRPr="001A38DC">
        <w:rPr>
          <w:sz w:val="20"/>
          <w:szCs w:val="20"/>
        </w:rPr>
        <w:t xml:space="preserve">Developed by Jeanne Cleary, Director of Simulation at </w:t>
      </w:r>
      <w:proofErr w:type="spellStart"/>
      <w:r w:rsidRPr="001A38DC">
        <w:rPr>
          <w:sz w:val="20"/>
          <w:szCs w:val="20"/>
        </w:rPr>
        <w:t>Ridgewater</w:t>
      </w:r>
      <w:proofErr w:type="spellEnd"/>
      <w:r w:rsidRPr="001A38DC">
        <w:rPr>
          <w:sz w:val="20"/>
          <w:szCs w:val="20"/>
        </w:rPr>
        <w:t xml:space="preserve"> Community College and Sue Field, Director of Healthcare Education and industry Partnership for Minnesota State – HealthForce MN. </w:t>
      </w:r>
      <w:r>
        <w:rPr>
          <w:sz w:val="20"/>
          <w:szCs w:val="20"/>
        </w:rPr>
        <w:t xml:space="preserve"> (You have permission to use and revise to </w:t>
      </w:r>
      <w:r>
        <w:rPr>
          <w:noProof/>
          <w:sz w:val="20"/>
          <w:szCs w:val="20"/>
        </w:rPr>
        <w:t>the needs of your program</w:t>
      </w:r>
      <w:r>
        <w:rPr>
          <w:sz w:val="20"/>
          <w:szCs w:val="20"/>
        </w:rPr>
        <w:t xml:space="preserve">). </w:t>
      </w:r>
    </w:p>
    <w:p w14:paraId="081A28FC" w14:textId="6C847D14" w:rsidR="00AD3AFA" w:rsidRPr="001A38DC" w:rsidRDefault="001A38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D3AFA" w:rsidRPr="001A38DC" w:rsidSect="002609FE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C03D0" w14:textId="77777777" w:rsidR="003B09AF" w:rsidRDefault="003B09AF" w:rsidP="0028051B">
      <w:pPr>
        <w:spacing w:after="0" w:line="240" w:lineRule="auto"/>
      </w:pPr>
      <w:r>
        <w:separator/>
      </w:r>
    </w:p>
  </w:endnote>
  <w:endnote w:type="continuationSeparator" w:id="0">
    <w:p w14:paraId="55BF11FD" w14:textId="77777777" w:rsidR="003B09AF" w:rsidRDefault="003B09AF" w:rsidP="0028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CFB83" w14:textId="77777777" w:rsidR="003B09AF" w:rsidRDefault="003B09AF" w:rsidP="0028051B">
      <w:pPr>
        <w:spacing w:after="0" w:line="240" w:lineRule="auto"/>
      </w:pPr>
      <w:r>
        <w:separator/>
      </w:r>
    </w:p>
  </w:footnote>
  <w:footnote w:type="continuationSeparator" w:id="0">
    <w:p w14:paraId="075AA619" w14:textId="77777777" w:rsidR="003B09AF" w:rsidRDefault="003B09AF" w:rsidP="0028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0F93" w14:textId="77777777" w:rsidR="0028051B" w:rsidRPr="00A01C38" w:rsidRDefault="00A01C38" w:rsidP="00A01C38">
    <w:pPr>
      <w:pStyle w:val="Title"/>
      <w:jc w:val="center"/>
      <w:rPr>
        <w:rStyle w:val="Strong"/>
      </w:rPr>
    </w:pPr>
    <w:r w:rsidRPr="00A01C38">
      <w:rPr>
        <w:rStyle w:val="Strong"/>
      </w:rPr>
      <w:t>Simulation as Clinical Replacement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520"/>
    <w:multiLevelType w:val="hybridMultilevel"/>
    <w:tmpl w:val="ADE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55301"/>
    <w:multiLevelType w:val="hybridMultilevel"/>
    <w:tmpl w:val="41AC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555"/>
    <w:multiLevelType w:val="hybridMultilevel"/>
    <w:tmpl w:val="1E589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7017F"/>
    <w:multiLevelType w:val="hybridMultilevel"/>
    <w:tmpl w:val="C7D4C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F2C09"/>
    <w:multiLevelType w:val="hybridMultilevel"/>
    <w:tmpl w:val="23664DE2"/>
    <w:lvl w:ilvl="0" w:tplc="B70840B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923D1"/>
    <w:multiLevelType w:val="hybridMultilevel"/>
    <w:tmpl w:val="A278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47A9"/>
    <w:multiLevelType w:val="hybridMultilevel"/>
    <w:tmpl w:val="DCE82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E0C46"/>
    <w:multiLevelType w:val="hybridMultilevel"/>
    <w:tmpl w:val="3704F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92A2C"/>
    <w:multiLevelType w:val="hybridMultilevel"/>
    <w:tmpl w:val="2D986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000FC"/>
    <w:multiLevelType w:val="hybridMultilevel"/>
    <w:tmpl w:val="C1D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175B5"/>
    <w:multiLevelType w:val="hybridMultilevel"/>
    <w:tmpl w:val="DD129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A82B7B"/>
    <w:multiLevelType w:val="hybridMultilevel"/>
    <w:tmpl w:val="FF364D1A"/>
    <w:lvl w:ilvl="0" w:tplc="44E8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F7509"/>
    <w:multiLevelType w:val="hybridMultilevel"/>
    <w:tmpl w:val="3A52C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C005B"/>
    <w:multiLevelType w:val="hybridMultilevel"/>
    <w:tmpl w:val="D6B2F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NTGyMDI0MDE2MzdS0lEKTi0uzszPAymwrAUAEXvw0iwAAAA="/>
  </w:docVars>
  <w:rsids>
    <w:rsidRoot w:val="002609FE"/>
    <w:rsid w:val="00000410"/>
    <w:rsid w:val="00006603"/>
    <w:rsid w:val="00020BC4"/>
    <w:rsid w:val="000221DA"/>
    <w:rsid w:val="00037DE0"/>
    <w:rsid w:val="000577B2"/>
    <w:rsid w:val="000604FF"/>
    <w:rsid w:val="0007107A"/>
    <w:rsid w:val="000822FF"/>
    <w:rsid w:val="00087E54"/>
    <w:rsid w:val="000B01A3"/>
    <w:rsid w:val="000C5919"/>
    <w:rsid w:val="000E4538"/>
    <w:rsid w:val="000F47A5"/>
    <w:rsid w:val="00100268"/>
    <w:rsid w:val="0013098C"/>
    <w:rsid w:val="001357B0"/>
    <w:rsid w:val="001366CD"/>
    <w:rsid w:val="00146C79"/>
    <w:rsid w:val="00171297"/>
    <w:rsid w:val="001739E2"/>
    <w:rsid w:val="001758AE"/>
    <w:rsid w:val="00194608"/>
    <w:rsid w:val="001A38DC"/>
    <w:rsid w:val="001D1E8A"/>
    <w:rsid w:val="001E404B"/>
    <w:rsid w:val="0020663F"/>
    <w:rsid w:val="00227300"/>
    <w:rsid w:val="00230AB5"/>
    <w:rsid w:val="002501B0"/>
    <w:rsid w:val="002609FE"/>
    <w:rsid w:val="00263CD7"/>
    <w:rsid w:val="0026468D"/>
    <w:rsid w:val="002759F4"/>
    <w:rsid w:val="00276D68"/>
    <w:rsid w:val="0028051B"/>
    <w:rsid w:val="00290D12"/>
    <w:rsid w:val="002976FE"/>
    <w:rsid w:val="00297A6C"/>
    <w:rsid w:val="002A29CF"/>
    <w:rsid w:val="002C4C50"/>
    <w:rsid w:val="00356224"/>
    <w:rsid w:val="00372F7A"/>
    <w:rsid w:val="003B09AF"/>
    <w:rsid w:val="003B1C1F"/>
    <w:rsid w:val="003C48B5"/>
    <w:rsid w:val="003E5223"/>
    <w:rsid w:val="003F37A8"/>
    <w:rsid w:val="00400660"/>
    <w:rsid w:val="00461980"/>
    <w:rsid w:val="00515AF9"/>
    <w:rsid w:val="00535B8C"/>
    <w:rsid w:val="005447D5"/>
    <w:rsid w:val="005560C4"/>
    <w:rsid w:val="00584296"/>
    <w:rsid w:val="005861C5"/>
    <w:rsid w:val="0059450D"/>
    <w:rsid w:val="005C77E8"/>
    <w:rsid w:val="005F1C4B"/>
    <w:rsid w:val="005F531C"/>
    <w:rsid w:val="005F7557"/>
    <w:rsid w:val="0061753D"/>
    <w:rsid w:val="00624FF0"/>
    <w:rsid w:val="0063025A"/>
    <w:rsid w:val="006513FE"/>
    <w:rsid w:val="00667EB3"/>
    <w:rsid w:val="00675F44"/>
    <w:rsid w:val="006A19DD"/>
    <w:rsid w:val="006A4C9B"/>
    <w:rsid w:val="006C2AD1"/>
    <w:rsid w:val="006D7239"/>
    <w:rsid w:val="006E74D7"/>
    <w:rsid w:val="006F426A"/>
    <w:rsid w:val="006F4E90"/>
    <w:rsid w:val="00706424"/>
    <w:rsid w:val="00721235"/>
    <w:rsid w:val="00751215"/>
    <w:rsid w:val="00753FC4"/>
    <w:rsid w:val="0076269A"/>
    <w:rsid w:val="00770120"/>
    <w:rsid w:val="007C265F"/>
    <w:rsid w:val="007C67F6"/>
    <w:rsid w:val="007E7E31"/>
    <w:rsid w:val="008504F7"/>
    <w:rsid w:val="008558C2"/>
    <w:rsid w:val="00865DA9"/>
    <w:rsid w:val="0086610D"/>
    <w:rsid w:val="0088746A"/>
    <w:rsid w:val="00890017"/>
    <w:rsid w:val="008C3466"/>
    <w:rsid w:val="008D06A1"/>
    <w:rsid w:val="008D20F7"/>
    <w:rsid w:val="008D6B7F"/>
    <w:rsid w:val="008E41D1"/>
    <w:rsid w:val="008E48FC"/>
    <w:rsid w:val="008E4936"/>
    <w:rsid w:val="008F4D54"/>
    <w:rsid w:val="008F6216"/>
    <w:rsid w:val="00920348"/>
    <w:rsid w:val="00931B10"/>
    <w:rsid w:val="00984688"/>
    <w:rsid w:val="009923FA"/>
    <w:rsid w:val="009A3377"/>
    <w:rsid w:val="009A7189"/>
    <w:rsid w:val="009C4675"/>
    <w:rsid w:val="009D679E"/>
    <w:rsid w:val="009E3E88"/>
    <w:rsid w:val="009F6CE3"/>
    <w:rsid w:val="009F7B81"/>
    <w:rsid w:val="00A01C38"/>
    <w:rsid w:val="00A04D24"/>
    <w:rsid w:val="00A067CC"/>
    <w:rsid w:val="00A32B93"/>
    <w:rsid w:val="00A3600E"/>
    <w:rsid w:val="00A51F7E"/>
    <w:rsid w:val="00A53FAA"/>
    <w:rsid w:val="00A603E6"/>
    <w:rsid w:val="00A95429"/>
    <w:rsid w:val="00AB278B"/>
    <w:rsid w:val="00AD3AFA"/>
    <w:rsid w:val="00B03AED"/>
    <w:rsid w:val="00B46F2B"/>
    <w:rsid w:val="00B53384"/>
    <w:rsid w:val="00B6406B"/>
    <w:rsid w:val="00B90D94"/>
    <w:rsid w:val="00B919BC"/>
    <w:rsid w:val="00B91B49"/>
    <w:rsid w:val="00BA3C76"/>
    <w:rsid w:val="00BB34FC"/>
    <w:rsid w:val="00BE5381"/>
    <w:rsid w:val="00C26275"/>
    <w:rsid w:val="00C32093"/>
    <w:rsid w:val="00C32CCD"/>
    <w:rsid w:val="00C53214"/>
    <w:rsid w:val="00C62EC6"/>
    <w:rsid w:val="00CB3EB3"/>
    <w:rsid w:val="00CC1212"/>
    <w:rsid w:val="00D44F1C"/>
    <w:rsid w:val="00D50D5F"/>
    <w:rsid w:val="00D51B58"/>
    <w:rsid w:val="00D83214"/>
    <w:rsid w:val="00D97324"/>
    <w:rsid w:val="00DA3914"/>
    <w:rsid w:val="00DE2A85"/>
    <w:rsid w:val="00E05CD3"/>
    <w:rsid w:val="00E33469"/>
    <w:rsid w:val="00E33BD4"/>
    <w:rsid w:val="00E43331"/>
    <w:rsid w:val="00E5691A"/>
    <w:rsid w:val="00EA36C5"/>
    <w:rsid w:val="00EC287D"/>
    <w:rsid w:val="00EE523E"/>
    <w:rsid w:val="00F14E61"/>
    <w:rsid w:val="00F24183"/>
    <w:rsid w:val="00F601E1"/>
    <w:rsid w:val="00F634A1"/>
    <w:rsid w:val="00F8403F"/>
    <w:rsid w:val="00F86DC6"/>
    <w:rsid w:val="00FA5F7C"/>
    <w:rsid w:val="00FC219C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9C11"/>
  <w15:chartTrackingRefBased/>
  <w15:docId w15:val="{FC8E1D62-2908-44EB-932C-A1D5D643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AF9"/>
    <w:pPr>
      <w:ind w:left="720"/>
      <w:contextualSpacing/>
    </w:pPr>
  </w:style>
  <w:style w:type="character" w:customStyle="1" w:styleId="hvr">
    <w:name w:val="hvr"/>
    <w:basedOn w:val="DefaultParagraphFont"/>
    <w:rsid w:val="00372F7A"/>
  </w:style>
  <w:style w:type="character" w:styleId="Hyperlink">
    <w:name w:val="Hyperlink"/>
    <w:basedOn w:val="DefaultParagraphFont"/>
    <w:uiPriority w:val="99"/>
    <w:unhideWhenUsed/>
    <w:rsid w:val="00372F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F7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8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1B"/>
  </w:style>
  <w:style w:type="paragraph" w:styleId="Footer">
    <w:name w:val="footer"/>
    <w:basedOn w:val="Normal"/>
    <w:link w:val="FooterChar"/>
    <w:uiPriority w:val="99"/>
    <w:unhideWhenUsed/>
    <w:rsid w:val="0028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1B"/>
  </w:style>
  <w:style w:type="paragraph" w:styleId="Title">
    <w:name w:val="Title"/>
    <w:basedOn w:val="Normal"/>
    <w:next w:val="Normal"/>
    <w:link w:val="TitleChar"/>
    <w:uiPriority w:val="10"/>
    <w:qFormat/>
    <w:rsid w:val="00A01C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01C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6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0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214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289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7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879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734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92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25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50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71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6123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6897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7811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496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4523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0724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boards/nursing/practice/nursing-practice-topics/scope-of-practice.js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sbn.org/1149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visor.mn.gov/rules/6301.234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acsl.org/inacsl-standards-of-best-practice-simul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isor.mn.gov/rules/?id=6301.23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F4A2-D37F-48A0-9F31-E9923CBC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Field</dc:creator>
  <cp:keywords/>
  <dc:description/>
  <cp:lastModifiedBy>Field, Susan C</cp:lastModifiedBy>
  <cp:revision>2</cp:revision>
  <cp:lastPrinted>2018-08-21T18:50:00Z</cp:lastPrinted>
  <dcterms:created xsi:type="dcterms:W3CDTF">2018-11-01T13:01:00Z</dcterms:created>
  <dcterms:modified xsi:type="dcterms:W3CDTF">2018-11-01T13:01:00Z</dcterms:modified>
</cp:coreProperties>
</file>